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037C4E35"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BE7E58">
        <w:rPr>
          <w:rFonts w:eastAsia="Times New Roman"/>
          <w:bCs/>
          <w:sz w:val="24"/>
          <w:szCs w:val="24"/>
          <w:lang w:eastAsia="ja-JP"/>
        </w:rPr>
        <w:t>#99</w:t>
      </w:r>
      <w:r w:rsidR="00211D8E">
        <w:rPr>
          <w:rFonts w:eastAsia="Times New Roman"/>
          <w:bCs/>
          <w:sz w:val="24"/>
          <w:szCs w:val="24"/>
          <w:lang w:eastAsia="ja-JP"/>
        </w:rPr>
        <w:t>b</w:t>
      </w:r>
      <w:r w:rsidR="00654F30">
        <w:rPr>
          <w:rFonts w:eastAsia="Times New Roman"/>
          <w:bCs/>
          <w:sz w:val="24"/>
          <w:szCs w:val="24"/>
          <w:lang w:eastAsia="ja-JP"/>
        </w:rPr>
        <w:t>is</w:t>
      </w:r>
      <w:r w:rsidR="00744BF8">
        <w:rPr>
          <w:rFonts w:eastAsia="Times New Roman"/>
          <w:bCs/>
          <w:sz w:val="24"/>
          <w:szCs w:val="24"/>
          <w:lang w:eastAsia="ja-JP"/>
        </w:rPr>
        <w:t xml:space="preserve"> </w:t>
      </w:r>
      <w:r>
        <w:rPr>
          <w:rFonts w:eastAsia="Times New Roman"/>
          <w:bCs/>
          <w:sz w:val="24"/>
          <w:szCs w:val="24"/>
          <w:lang w:eastAsia="ja-JP"/>
        </w:rPr>
        <w:t xml:space="preserve"> </w:t>
      </w:r>
      <w:r w:rsidR="00744BF8">
        <w:rPr>
          <w:rFonts w:eastAsia="Times New Roman"/>
          <w:bCs/>
          <w:sz w:val="24"/>
          <w:szCs w:val="24"/>
          <w:lang w:eastAsia="ja-JP"/>
        </w:rPr>
        <w:t xml:space="preserve">        </w:t>
      </w:r>
      <w:r w:rsidR="00FC4FB9">
        <w:rPr>
          <w:rFonts w:eastAsia="Times New Roman"/>
          <w:bCs/>
          <w:sz w:val="24"/>
          <w:szCs w:val="24"/>
          <w:lang w:eastAsia="ja-JP"/>
        </w:rPr>
        <w:t xml:space="preserve">             </w:t>
      </w:r>
      <w:r w:rsidR="00165CDA">
        <w:rPr>
          <w:rFonts w:eastAsia="Times New Roman"/>
          <w:bCs/>
          <w:sz w:val="24"/>
          <w:szCs w:val="24"/>
          <w:lang w:eastAsia="ja-JP"/>
        </w:rPr>
        <w:t xml:space="preserve">                                      </w:t>
      </w:r>
      <w:r w:rsidR="008A3731">
        <w:rPr>
          <w:rFonts w:eastAsia="Times New Roman"/>
          <w:bCs/>
          <w:sz w:val="24"/>
          <w:szCs w:val="24"/>
          <w:lang w:eastAsia="ja-JP"/>
        </w:rPr>
        <w:t xml:space="preserve">       </w:t>
      </w:r>
      <w:r w:rsidR="00165CDA">
        <w:rPr>
          <w:rFonts w:eastAsia="Times New Roman"/>
          <w:bCs/>
          <w:sz w:val="24"/>
          <w:szCs w:val="24"/>
          <w:lang w:eastAsia="ja-JP"/>
        </w:rPr>
        <w:t xml:space="preserve">    </w:t>
      </w:r>
      <w:r w:rsidR="00654F30">
        <w:rPr>
          <w:rFonts w:eastAsia="Times New Roman"/>
          <w:bCs/>
          <w:sz w:val="24"/>
          <w:szCs w:val="24"/>
          <w:lang w:eastAsia="ja-JP"/>
        </w:rPr>
        <w:t xml:space="preserve">              </w:t>
      </w:r>
      <w:r w:rsidR="00836EDE" w:rsidRPr="00836EDE">
        <w:rPr>
          <w:rFonts w:eastAsia="Times New Roman"/>
          <w:bCs/>
          <w:sz w:val="24"/>
          <w:szCs w:val="24"/>
          <w:lang w:eastAsia="ja-JP"/>
        </w:rPr>
        <w:t>R2-1710863</w:t>
      </w:r>
    </w:p>
    <w:p w14:paraId="54A057F1" w14:textId="526B0A00" w:rsidR="00156A1A" w:rsidRDefault="00B01312"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B01312">
        <w:rPr>
          <w:rFonts w:eastAsia="Times New Roman"/>
          <w:bCs/>
          <w:sz w:val="24"/>
          <w:szCs w:val="24"/>
          <w:lang w:eastAsia="ja-JP"/>
        </w:rPr>
        <w:t>Prague, CZ, 9-13 October 2017</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3DF363C9"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A22C0B">
        <w:rPr>
          <w:b/>
          <w:noProof/>
          <w:sz w:val="24"/>
        </w:rPr>
        <w:t>4.2</w:t>
      </w:r>
      <w:r w:rsidR="00BF5BE2">
        <w:rPr>
          <w:b/>
          <w:noProof/>
          <w:sz w:val="24"/>
        </w:rPr>
        <w:t>.2</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7ED2FCFA"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035FBA" w:rsidRPr="00035FBA">
        <w:rPr>
          <w:b/>
          <w:noProof/>
          <w:sz w:val="24"/>
        </w:rPr>
        <w:t>Remaining issues for inter-RAT measurements from LTE to NR</w:t>
      </w:r>
    </w:p>
    <w:bookmarkEnd w:id="1"/>
    <w:bookmarkEnd w:id="2"/>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76B1FAA1" w:rsidR="00EF6D7A" w:rsidRDefault="00977AF4" w:rsidP="00977AF4">
      <w:pPr>
        <w:pStyle w:val="Doc-text2"/>
        <w:tabs>
          <w:tab w:val="left" w:pos="340"/>
        </w:tabs>
        <w:ind w:left="0" w:firstLine="0"/>
        <w:jc w:val="both"/>
      </w:pPr>
      <w:r>
        <w:t xml:space="preserve">In </w:t>
      </w:r>
      <w:r w:rsidR="00891B43">
        <w:t xml:space="preserve">the </w:t>
      </w:r>
      <w:r w:rsidR="00580DF2">
        <w:t xml:space="preserve">last </w:t>
      </w:r>
      <w:r w:rsidR="003809E6">
        <w:t xml:space="preserve">few </w:t>
      </w:r>
      <w:r w:rsidR="00580DF2">
        <w:t xml:space="preserve">meetings, </w:t>
      </w:r>
      <w:r w:rsidR="003809E6">
        <w:t xml:space="preserve">RAN2 has reached some agreements </w:t>
      </w:r>
      <w:r w:rsidR="00E00F3A">
        <w:t>regarding to i</w:t>
      </w:r>
      <w:r w:rsidR="00726FEB">
        <w:t>nter-RAT measurement from LTE to NR</w:t>
      </w:r>
      <w:r w:rsidR="001E3A60">
        <w:t>.</w:t>
      </w:r>
    </w:p>
    <w:p w14:paraId="2796B8C5" w14:textId="77777777" w:rsidR="008135C8" w:rsidRDefault="008135C8" w:rsidP="008135C8">
      <w:pPr>
        <w:pStyle w:val="Doc-text2"/>
        <w:tabs>
          <w:tab w:val="left" w:pos="340"/>
        </w:tabs>
        <w:ind w:left="0" w:firstLine="0"/>
        <w:jc w:val="both"/>
      </w:pPr>
    </w:p>
    <w:p w14:paraId="52D37644" w14:textId="3D7E25F3" w:rsidR="003809E6" w:rsidRPr="00802381" w:rsidRDefault="003809E6" w:rsidP="003809E6">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w:t>
      </w:r>
      <w:r w:rsidR="009917B4">
        <w:rPr>
          <w:b/>
        </w:rPr>
        <w:t>NR AdHoc #2</w:t>
      </w:r>
    </w:p>
    <w:p w14:paraId="4D875F1B" w14:textId="05FC4B03" w:rsidR="009917B4" w:rsidRDefault="009917B4" w:rsidP="009917B4">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LTE inter-RAT measurement trigger event B1 for NR to be supported</w:t>
      </w:r>
    </w:p>
    <w:p w14:paraId="5D586E44" w14:textId="77777777" w:rsidR="009917B4" w:rsidRDefault="009917B4" w:rsidP="009917B4">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053DBC">
        <w:rPr>
          <w:highlight w:val="yellow"/>
        </w:rPr>
        <w:t>FFS Whether a measurement trigger event is needed in LTE which is triggered when NR PSCell becomes worse than an absolute threshold</w:t>
      </w:r>
      <w:r>
        <w:t>.</w:t>
      </w:r>
    </w:p>
    <w:p w14:paraId="2B82B0EC" w14:textId="248B1047" w:rsidR="009917B4" w:rsidRDefault="009917B4" w:rsidP="009917B4">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053DBC">
        <w:rPr>
          <w:highlight w:val="yellow"/>
        </w:rPr>
        <w:t>FFS A measurement trigger event is needed in LTE which is triggered when NR PSCell becomes worse than absolute threshold1 and NR neighbour cell on a different carrier becomes better than absolute threshold2</w:t>
      </w:r>
      <w:r>
        <w:t>.</w:t>
      </w:r>
    </w:p>
    <w:p w14:paraId="08BCC0AB" w14:textId="0307974B" w:rsidR="00234B6D" w:rsidRDefault="00234B6D" w:rsidP="009917B4">
      <w:pPr>
        <w:pStyle w:val="Doc-text2"/>
        <w:pBdr>
          <w:top w:val="single" w:sz="4" w:space="1" w:color="auto"/>
          <w:left w:val="single" w:sz="4" w:space="4" w:color="auto"/>
          <w:bottom w:val="single" w:sz="4" w:space="1" w:color="auto"/>
          <w:right w:val="single" w:sz="4" w:space="4" w:color="auto"/>
        </w:pBdr>
        <w:spacing w:line="360" w:lineRule="auto"/>
      </w:pPr>
    </w:p>
    <w:p w14:paraId="775EAE75" w14:textId="0DEA25E6" w:rsidR="003809E6" w:rsidRPr="00802381" w:rsidRDefault="00234B6D" w:rsidP="003809E6">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w:t>
      </w:r>
      <w:r w:rsidR="00B01312">
        <w:rPr>
          <w:b/>
        </w:rPr>
        <w:t>#99</w:t>
      </w:r>
      <w:r w:rsidR="003809E6">
        <w:rPr>
          <w:b/>
        </w:rPr>
        <w:t xml:space="preserve"> </w:t>
      </w:r>
    </w:p>
    <w:p w14:paraId="7345A295" w14:textId="77777777" w:rsidR="00FC6AE2" w:rsidRDefault="00FC6AE2" w:rsidP="00FC6AE2">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503D7F">
        <w:t xml:space="preserve">LTE inter-RAT measurement trigger event B2 for NR is supported </w:t>
      </w:r>
    </w:p>
    <w:p w14:paraId="4C4837A1" w14:textId="7C441653" w:rsidR="00FC6AE2" w:rsidRDefault="00FC6AE2" w:rsidP="00FC6AE2">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Beam measurement results can be configured by LTE eNB for EN-DC and inter-RAT handover from LTE to NR.</w:t>
      </w:r>
    </w:p>
    <w:p w14:paraId="098B05F7" w14:textId="2965146A" w:rsidR="00FC6AE2" w:rsidRDefault="00FC6AE2" w:rsidP="00FC6AE2">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7D4DA5">
        <w:rPr>
          <w:highlight w:val="yellow"/>
        </w:rPr>
        <w:t>FFS Whether the LTE measurement report inc</w:t>
      </w:r>
      <w:r w:rsidR="004C6034">
        <w:rPr>
          <w:highlight w:val="yellow"/>
        </w:rPr>
        <w:t>ludes beam measurement results</w:t>
      </w:r>
      <w:r w:rsidRPr="007D4DA5">
        <w:rPr>
          <w:highlight w:val="yellow"/>
        </w:rPr>
        <w:t xml:space="preserve"> encoded in LTE RRC format or NR RRC format</w:t>
      </w:r>
      <w:r>
        <w:t>.</w:t>
      </w:r>
    </w:p>
    <w:p w14:paraId="34051DAB" w14:textId="5B197266" w:rsidR="001E3A60" w:rsidRDefault="00FC6AE2" w:rsidP="00FC6AE2">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NR measurement results are based on NR SSB for L3 mobility purpose</w:t>
      </w:r>
    </w:p>
    <w:p w14:paraId="6F47DA89" w14:textId="118C0215" w:rsidR="00F42FB7" w:rsidRDefault="00B01312" w:rsidP="00B01312">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762374">
        <w:rPr>
          <w:highlight w:val="yellow"/>
        </w:rPr>
        <w:t>FFS Whether NR SN serving cell measurements are provided in LTE measurement reports</w:t>
      </w:r>
      <w:r w:rsidRPr="00762374">
        <w:t>.</w:t>
      </w:r>
    </w:p>
    <w:p w14:paraId="0F08B9DD" w14:textId="77777777" w:rsidR="00891B43" w:rsidRDefault="00891B43" w:rsidP="008135C8">
      <w:pPr>
        <w:pStyle w:val="Doc-text2"/>
        <w:tabs>
          <w:tab w:val="left" w:pos="340"/>
        </w:tabs>
        <w:ind w:left="0" w:firstLine="0"/>
        <w:jc w:val="both"/>
      </w:pPr>
    </w:p>
    <w:p w14:paraId="47837CF4" w14:textId="2241548A" w:rsidR="00842B3E" w:rsidRDefault="005E3BCE" w:rsidP="008135C8">
      <w:pPr>
        <w:pStyle w:val="Doc-text2"/>
        <w:tabs>
          <w:tab w:val="left" w:pos="340"/>
        </w:tabs>
        <w:ind w:left="0" w:firstLine="0"/>
        <w:jc w:val="both"/>
      </w:pPr>
      <w:r>
        <w:t>In this paper, we are going to discuss this FFS points</w:t>
      </w:r>
      <w:r w:rsidR="00E00F3A">
        <w:t xml:space="preserve"> related to i</w:t>
      </w:r>
      <w:r w:rsidR="0032385F">
        <w:t>nter-RAT measurement from LTE to NR</w:t>
      </w:r>
      <w:r>
        <w:t xml:space="preserve">. Considering the timeline of </w:t>
      </w:r>
      <w:r w:rsidR="00064A49">
        <w:t>EN-DC development and inter-RAT</w:t>
      </w:r>
      <w:r>
        <w:t xml:space="preserve"> measurement from LTE to NR is part of EN-DC </w:t>
      </w:r>
      <w:r w:rsidR="00627875">
        <w:t>operation</w:t>
      </w:r>
      <w:r w:rsidR="00E00F3A">
        <w:t>,</w:t>
      </w:r>
      <w:r>
        <w:t xml:space="preserve"> we wish to finalize the design </w:t>
      </w:r>
      <w:r w:rsidR="00E00F3A">
        <w:t>in this meeting so that we could meet</w:t>
      </w:r>
      <w:r>
        <w:t xml:space="preserve"> the deadline. </w:t>
      </w:r>
    </w:p>
    <w:p w14:paraId="0EE4BADE" w14:textId="77777777" w:rsidR="00842B3E" w:rsidRDefault="00842B3E" w:rsidP="008135C8">
      <w:pPr>
        <w:pStyle w:val="Doc-text2"/>
        <w:tabs>
          <w:tab w:val="left" w:pos="340"/>
        </w:tabs>
        <w:ind w:left="0" w:firstLine="0"/>
        <w:jc w:val="both"/>
      </w:pPr>
    </w:p>
    <w:p w14:paraId="0D7EF545" w14:textId="702923DB" w:rsidR="00053DBC" w:rsidRPr="007B7D45" w:rsidRDefault="00CC3365" w:rsidP="007B7D45">
      <w:pPr>
        <w:pStyle w:val="Heading1"/>
        <w:rPr>
          <w:lang w:val="en-US" w:eastAsia="ko-KR"/>
        </w:rPr>
      </w:pPr>
      <w:r>
        <w:rPr>
          <w:lang w:val="en-US" w:eastAsia="ko-KR"/>
        </w:rPr>
        <w:t xml:space="preserve">2 </w:t>
      </w:r>
      <w:r w:rsidR="00A161E6">
        <w:rPr>
          <w:lang w:val="en-US" w:eastAsia="ko-KR"/>
        </w:rPr>
        <w:t>Discussion</w:t>
      </w:r>
    </w:p>
    <w:p w14:paraId="5F92A721" w14:textId="414382FB" w:rsidR="00EF20EF" w:rsidRDefault="00EF20EF" w:rsidP="00EF20EF">
      <w:pPr>
        <w:pStyle w:val="Heading2"/>
      </w:pPr>
      <w:r>
        <w:t xml:space="preserve">2.1 New </w:t>
      </w:r>
      <w:r w:rsidR="00881726">
        <w:t xml:space="preserve">LTE </w:t>
      </w:r>
      <w:r>
        <w:t>measurement events for EN-DC</w:t>
      </w:r>
    </w:p>
    <w:p w14:paraId="2654E44C" w14:textId="22E0CB2D" w:rsidR="00EF20EF" w:rsidRDefault="004942D1" w:rsidP="00EF20EF">
      <w:pPr>
        <w:pStyle w:val="Doc-text2"/>
        <w:tabs>
          <w:tab w:val="left" w:pos="340"/>
        </w:tabs>
        <w:ind w:left="0" w:firstLine="0"/>
        <w:jc w:val="both"/>
      </w:pPr>
      <w:r>
        <w:t xml:space="preserve">In the </w:t>
      </w:r>
      <w:r w:rsidR="0027493D" w:rsidRPr="0027493D">
        <w:t xml:space="preserve">Qingdao </w:t>
      </w:r>
      <w:r w:rsidR="00205AD4">
        <w:t>meeting</w:t>
      </w:r>
      <w:r w:rsidR="0027493D">
        <w:t xml:space="preserve"> and </w:t>
      </w:r>
      <w:r w:rsidR="0027493D" w:rsidRPr="0027493D">
        <w:t>Berlin</w:t>
      </w:r>
      <w:r w:rsidR="0027493D">
        <w:t xml:space="preserve"> meeting</w:t>
      </w:r>
      <w:r w:rsidR="00205AD4">
        <w:t xml:space="preserve">, RAN2 has discussed </w:t>
      </w:r>
      <w:r w:rsidR="004A0A6A">
        <w:t>whether to have new LTE measurement event to trigger the following 2 mobility event in EN-DC.</w:t>
      </w:r>
    </w:p>
    <w:p w14:paraId="0226AB88" w14:textId="4073CA7D" w:rsidR="004A0A6A" w:rsidRDefault="006C295D" w:rsidP="004A0A6A">
      <w:pPr>
        <w:pStyle w:val="Doc-text2"/>
        <w:numPr>
          <w:ilvl w:val="0"/>
          <w:numId w:val="18"/>
        </w:numPr>
        <w:tabs>
          <w:tab w:val="left" w:pos="340"/>
        </w:tabs>
        <w:jc w:val="both"/>
      </w:pPr>
      <w:r>
        <w:t>MeNB</w:t>
      </w:r>
      <w:r w:rsidR="004A0A6A">
        <w:t xml:space="preserve"> </w:t>
      </w:r>
      <w:r>
        <w:t>trigger SgNB</w:t>
      </w:r>
      <w:r w:rsidR="004A0A6A">
        <w:t xml:space="preserve"> release base</w:t>
      </w:r>
      <w:r w:rsidR="007B177D">
        <w:t>d</w:t>
      </w:r>
      <w:r w:rsidR="004A0A6A">
        <w:t xml:space="preserve"> on LTE measurement report (event A2 like)</w:t>
      </w:r>
    </w:p>
    <w:p w14:paraId="2DB2EC77" w14:textId="1AD03451" w:rsidR="004A0A6A" w:rsidRDefault="006C295D" w:rsidP="004A0A6A">
      <w:pPr>
        <w:pStyle w:val="Doc-text2"/>
        <w:numPr>
          <w:ilvl w:val="0"/>
          <w:numId w:val="18"/>
        </w:numPr>
        <w:tabs>
          <w:tab w:val="left" w:pos="340"/>
        </w:tabs>
        <w:jc w:val="both"/>
      </w:pPr>
      <w:r>
        <w:t>MeNB</w:t>
      </w:r>
      <w:r w:rsidR="005C33A5">
        <w:t xml:space="preserve"> </w:t>
      </w:r>
      <w:r w:rsidR="004C6034">
        <w:t xml:space="preserve">trigger </w:t>
      </w:r>
      <w:r>
        <w:t xml:space="preserve">SgNB change </w:t>
      </w:r>
      <w:r w:rsidR="007B177D">
        <w:t>based</w:t>
      </w:r>
      <w:r>
        <w:t xml:space="preserve"> on LTE measurement report (</w:t>
      </w:r>
      <w:r w:rsidR="005C33A5">
        <w:t>event A3 like)</w:t>
      </w:r>
      <w:r w:rsidR="004A0A6A">
        <w:t xml:space="preserve"> </w:t>
      </w:r>
    </w:p>
    <w:p w14:paraId="2C546939" w14:textId="0AD63087" w:rsidR="004A0A6A" w:rsidRDefault="004A0A6A" w:rsidP="00EF20EF">
      <w:pPr>
        <w:pStyle w:val="Doc-text2"/>
        <w:tabs>
          <w:tab w:val="left" w:pos="340"/>
        </w:tabs>
        <w:ind w:left="0" w:firstLine="0"/>
        <w:jc w:val="both"/>
      </w:pPr>
      <w:r>
        <w:t xml:space="preserve">We </w:t>
      </w:r>
      <w:r w:rsidR="006C295D">
        <w:t xml:space="preserve">think that the NR cells mobility should be </w:t>
      </w:r>
      <w:r w:rsidR="00EB5723">
        <w:t>maintained</w:t>
      </w:r>
      <w:r w:rsidR="006C295D">
        <w:t xml:space="preserve"> by SgNB in EN-DC. The above two mobility procedure could be </w:t>
      </w:r>
      <w:r w:rsidR="00EB5723">
        <w:t xml:space="preserve">also </w:t>
      </w:r>
      <w:r w:rsidR="006C295D">
        <w:t xml:space="preserve">triggered by SgNB while NR measurement event A2 and A3 are received. </w:t>
      </w:r>
      <w:r w:rsidR="0046131B">
        <w:t xml:space="preserve">It is not clear to us not why MeNB </w:t>
      </w:r>
      <w:r w:rsidR="00EB5723">
        <w:t xml:space="preserve">has to control the intra-NR mobility. We agree that this could be an optimization while the NR measurement </w:t>
      </w:r>
      <w:r w:rsidR="00520A35">
        <w:t>report</w:t>
      </w:r>
      <w:r w:rsidR="00EB5723">
        <w:t xml:space="preserve"> </w:t>
      </w:r>
      <w:r w:rsidR="00520A35">
        <w:t>fails</w:t>
      </w:r>
      <w:r w:rsidR="00096CA7">
        <w:t xml:space="preserve"> to be sent to SgNB (e.g. due to bad channel quality while SRB3 is used). </w:t>
      </w:r>
      <w:r w:rsidR="00EB5723">
        <w:t xml:space="preserve">However, </w:t>
      </w:r>
      <w:r w:rsidR="00027C6B">
        <w:t>i</w:t>
      </w:r>
      <w:r w:rsidR="00EB5723">
        <w:t xml:space="preserve">t is not essential in EN-DC operation. Therefore, we propose </w:t>
      </w:r>
      <w:r w:rsidR="00027C6B">
        <w:t>that SgNB control the intra-NR mobility in Rel-15 as a baseline. Whether these new events are introduced could be discussed in later release.</w:t>
      </w:r>
    </w:p>
    <w:p w14:paraId="5105C7D3" w14:textId="77777777" w:rsidR="00205AD4" w:rsidRDefault="00205AD4" w:rsidP="00EF20EF">
      <w:pPr>
        <w:pStyle w:val="Doc-text2"/>
        <w:tabs>
          <w:tab w:val="left" w:pos="340"/>
        </w:tabs>
        <w:ind w:left="0" w:firstLine="0"/>
        <w:jc w:val="both"/>
      </w:pPr>
    </w:p>
    <w:p w14:paraId="0B66CEC9" w14:textId="3F4F6235" w:rsidR="00EF20EF" w:rsidRDefault="00EF20EF" w:rsidP="00EF20EF">
      <w:pPr>
        <w:pStyle w:val="Doc-text2"/>
        <w:tabs>
          <w:tab w:val="left" w:pos="340"/>
        </w:tabs>
        <w:ind w:left="0" w:firstLine="0"/>
        <w:jc w:val="both"/>
        <w:rPr>
          <w:b/>
        </w:rPr>
      </w:pPr>
      <w:r w:rsidRPr="00B9627E">
        <w:rPr>
          <w:b/>
        </w:rPr>
        <w:t>Proposal</w:t>
      </w:r>
      <w:r>
        <w:rPr>
          <w:b/>
        </w:rPr>
        <w:t xml:space="preserve"> 1: </w:t>
      </w:r>
      <w:r w:rsidR="004A0A6A" w:rsidRPr="004A0A6A">
        <w:rPr>
          <w:b/>
          <w:lang w:val="en-GB"/>
        </w:rPr>
        <w:t xml:space="preserve">For EN-DC, </w:t>
      </w:r>
      <w:r w:rsidR="005C33A5">
        <w:rPr>
          <w:b/>
          <w:lang w:val="en-GB"/>
        </w:rPr>
        <w:t xml:space="preserve">in Rel-15, </w:t>
      </w:r>
      <w:r w:rsidR="004A0A6A" w:rsidRPr="004A0A6A">
        <w:rPr>
          <w:b/>
          <w:lang w:val="en-GB"/>
        </w:rPr>
        <w:t xml:space="preserve">it is not necessary to </w:t>
      </w:r>
      <w:r w:rsidR="004A0A6A">
        <w:rPr>
          <w:b/>
          <w:lang w:val="en-GB"/>
        </w:rPr>
        <w:t>introduce LTE</w:t>
      </w:r>
      <w:r w:rsidR="004A0A6A" w:rsidRPr="004A0A6A">
        <w:rPr>
          <w:b/>
          <w:lang w:val="en-GB"/>
        </w:rPr>
        <w:t xml:space="preserve"> measurement event</w:t>
      </w:r>
      <w:r w:rsidR="004A0A6A">
        <w:rPr>
          <w:b/>
          <w:lang w:val="en-GB"/>
        </w:rPr>
        <w:t xml:space="preserve"> </w:t>
      </w:r>
      <w:r w:rsidR="005C33A5">
        <w:rPr>
          <w:b/>
          <w:lang w:val="en-GB"/>
        </w:rPr>
        <w:t>which is triggered when</w:t>
      </w:r>
      <w:r w:rsidR="004A0A6A">
        <w:rPr>
          <w:b/>
          <w:lang w:val="en-GB"/>
        </w:rPr>
        <w:t xml:space="preserve"> </w:t>
      </w:r>
      <w:r w:rsidR="004A0A6A" w:rsidRPr="004A0A6A">
        <w:rPr>
          <w:b/>
          <w:lang w:val="en-GB"/>
        </w:rPr>
        <w:t>NR PSCell becomes worse than an absolute threshold</w:t>
      </w:r>
      <w:r w:rsidR="005C33A5">
        <w:rPr>
          <w:b/>
          <w:lang w:val="en-GB"/>
        </w:rPr>
        <w:t>.</w:t>
      </w:r>
    </w:p>
    <w:p w14:paraId="0217BF0E" w14:textId="77777777" w:rsidR="00EF20EF" w:rsidRDefault="00EF20EF" w:rsidP="00EF20EF">
      <w:pPr>
        <w:pStyle w:val="Doc-text2"/>
        <w:tabs>
          <w:tab w:val="left" w:pos="340"/>
        </w:tabs>
        <w:ind w:left="0" w:firstLine="0"/>
        <w:jc w:val="both"/>
      </w:pPr>
    </w:p>
    <w:p w14:paraId="0278F605" w14:textId="57850C43" w:rsidR="005C33A5" w:rsidRDefault="005C33A5" w:rsidP="005C33A5">
      <w:pPr>
        <w:pStyle w:val="Doc-text2"/>
        <w:tabs>
          <w:tab w:val="left" w:pos="340"/>
        </w:tabs>
        <w:ind w:left="0" w:firstLine="0"/>
        <w:jc w:val="both"/>
        <w:rPr>
          <w:b/>
        </w:rPr>
      </w:pPr>
      <w:r w:rsidRPr="00B9627E">
        <w:rPr>
          <w:b/>
        </w:rPr>
        <w:lastRenderedPageBreak/>
        <w:t>Proposal</w:t>
      </w:r>
      <w:r>
        <w:rPr>
          <w:b/>
        </w:rPr>
        <w:t xml:space="preserve"> 2: </w:t>
      </w:r>
      <w:r w:rsidRPr="004A0A6A">
        <w:rPr>
          <w:b/>
          <w:lang w:val="en-GB"/>
        </w:rPr>
        <w:t xml:space="preserve">For EN-DC, </w:t>
      </w:r>
      <w:r>
        <w:rPr>
          <w:b/>
          <w:lang w:val="en-GB"/>
        </w:rPr>
        <w:t xml:space="preserve">in Rel-15, </w:t>
      </w:r>
      <w:r w:rsidRPr="004A0A6A">
        <w:rPr>
          <w:b/>
          <w:lang w:val="en-GB"/>
        </w:rPr>
        <w:t xml:space="preserve">it is not necessary to </w:t>
      </w:r>
      <w:r>
        <w:rPr>
          <w:b/>
          <w:lang w:val="en-GB"/>
        </w:rPr>
        <w:t>introduce LTE</w:t>
      </w:r>
      <w:r w:rsidRPr="004A0A6A">
        <w:rPr>
          <w:b/>
          <w:lang w:val="en-GB"/>
        </w:rPr>
        <w:t xml:space="preserve"> measurement event</w:t>
      </w:r>
      <w:r>
        <w:rPr>
          <w:b/>
          <w:lang w:val="en-GB"/>
        </w:rPr>
        <w:t xml:space="preserve"> which is triggered when </w:t>
      </w:r>
      <w:r w:rsidRPr="005C33A5">
        <w:rPr>
          <w:b/>
          <w:lang w:val="en-GB"/>
        </w:rPr>
        <w:t>NR PSCell becomes worse than absolute threshold1 and NR neighbour cell on a different carrier becomes better than absolute threshold2</w:t>
      </w:r>
      <w:r>
        <w:rPr>
          <w:b/>
          <w:lang w:val="en-GB"/>
        </w:rPr>
        <w:t>.</w:t>
      </w:r>
    </w:p>
    <w:p w14:paraId="6A464F16" w14:textId="77777777" w:rsidR="00EF20EF" w:rsidRPr="00EF20EF" w:rsidRDefault="00EF20EF" w:rsidP="00EF20EF"/>
    <w:p w14:paraId="33809040" w14:textId="580C3E13" w:rsidR="00FB054B" w:rsidRDefault="00EF20EF" w:rsidP="00846EA1">
      <w:pPr>
        <w:pStyle w:val="Heading2"/>
      </w:pPr>
      <w:r>
        <w:t>2.2</w:t>
      </w:r>
      <w:r w:rsidR="00D10992">
        <w:t xml:space="preserve"> LTE </w:t>
      </w:r>
      <w:r w:rsidR="00881726">
        <w:t>m</w:t>
      </w:r>
      <w:r w:rsidR="00D10992">
        <w:t>easurement report content for NR cells</w:t>
      </w:r>
    </w:p>
    <w:p w14:paraId="4A968DBF" w14:textId="2DDB18EF" w:rsidR="00331164" w:rsidRDefault="00A547B7" w:rsidP="00FB054B">
      <w:pPr>
        <w:pStyle w:val="Doc-text2"/>
        <w:tabs>
          <w:tab w:val="left" w:pos="340"/>
        </w:tabs>
        <w:ind w:left="0" w:firstLine="0"/>
        <w:jc w:val="both"/>
      </w:pPr>
      <w:r>
        <w:t>For the LTE measurement report content of NR cells, we think it should be encoded in LTE RRC format as the GSM/UMTS inter-RAT measurement result</w:t>
      </w:r>
      <w:r w:rsidR="00A80D16">
        <w:t>s</w:t>
      </w:r>
      <w:r>
        <w:t xml:space="preserve"> in LTE. The content of LTE measurement report should be decoded by eNB so that eNB could make some mobility decision based on the </w:t>
      </w:r>
      <w:r w:rsidR="007B177D">
        <w:t xml:space="preserve">measurement </w:t>
      </w:r>
      <w:r>
        <w:t>result</w:t>
      </w:r>
      <w:r w:rsidR="007B177D">
        <w:t>s</w:t>
      </w:r>
      <w:r>
        <w:t>. We think that beam level result</w:t>
      </w:r>
      <w:r w:rsidR="00A80D16">
        <w:t>s</w:t>
      </w:r>
      <w:r>
        <w:t xml:space="preserve"> of </w:t>
      </w:r>
      <w:r w:rsidR="00A80D16">
        <w:t>NR cell</w:t>
      </w:r>
      <w:r w:rsidR="004E0961">
        <w:t>(s)</w:t>
      </w:r>
      <w:r>
        <w:t xml:space="preserve"> </w:t>
      </w:r>
      <w:r w:rsidR="00A80D16">
        <w:t>are also</w:t>
      </w:r>
      <w:r>
        <w:t xml:space="preserve"> useful for eNB</w:t>
      </w:r>
      <w:r w:rsidR="00A80D16">
        <w:t xml:space="preserve"> to make a better decision for Inter-RAT handover or SN add procedure</w:t>
      </w:r>
      <w:r>
        <w:t>.</w:t>
      </w:r>
      <w:r w:rsidR="007B177D">
        <w:t xml:space="preserve"> </w:t>
      </w:r>
      <w:r w:rsidR="00A80D16">
        <w:t>Therefore, we propose to encode the beam measurement result of NR cells in LTE RRC format.</w:t>
      </w:r>
    </w:p>
    <w:p w14:paraId="5944119E" w14:textId="77777777" w:rsidR="00EF20EF" w:rsidRDefault="00EF20EF" w:rsidP="00EF20EF">
      <w:pPr>
        <w:pStyle w:val="Doc-text2"/>
        <w:tabs>
          <w:tab w:val="left" w:pos="340"/>
        </w:tabs>
        <w:ind w:left="0" w:firstLine="0"/>
        <w:jc w:val="both"/>
        <w:rPr>
          <w:b/>
        </w:rPr>
      </w:pPr>
    </w:p>
    <w:p w14:paraId="01D0D582" w14:textId="40BE5D2B" w:rsidR="0046131B" w:rsidRDefault="0046131B" w:rsidP="0046131B">
      <w:pPr>
        <w:pStyle w:val="Doc-text2"/>
        <w:tabs>
          <w:tab w:val="left" w:pos="340"/>
        </w:tabs>
        <w:ind w:left="0" w:firstLine="0"/>
        <w:jc w:val="both"/>
        <w:rPr>
          <w:b/>
          <w:lang w:val="en-GB"/>
        </w:rPr>
      </w:pPr>
      <w:r w:rsidRPr="00B9627E">
        <w:rPr>
          <w:b/>
        </w:rPr>
        <w:t>Proposal</w:t>
      </w:r>
      <w:r>
        <w:rPr>
          <w:b/>
        </w:rPr>
        <w:t xml:space="preserve"> 3: </w:t>
      </w:r>
      <w:r w:rsidR="00990DE7">
        <w:rPr>
          <w:b/>
          <w:lang w:val="en-GB"/>
        </w:rPr>
        <w:t xml:space="preserve">The </w:t>
      </w:r>
      <w:r w:rsidR="00990DE7" w:rsidRPr="00990DE7">
        <w:rPr>
          <w:b/>
          <w:lang w:val="en-GB"/>
        </w:rPr>
        <w:t xml:space="preserve">LTE measurement report includes beam measurement results </w:t>
      </w:r>
      <w:r w:rsidR="00FB054B">
        <w:rPr>
          <w:b/>
          <w:lang w:val="en-GB"/>
        </w:rPr>
        <w:t xml:space="preserve">of NR cells </w:t>
      </w:r>
      <w:r w:rsidR="00990DE7" w:rsidRPr="00990DE7">
        <w:rPr>
          <w:b/>
          <w:lang w:val="en-GB"/>
        </w:rPr>
        <w:t>encoded in LTE RRC format</w:t>
      </w:r>
      <w:r w:rsidR="00990DE7">
        <w:rPr>
          <w:b/>
          <w:lang w:val="en-GB"/>
        </w:rPr>
        <w:t>.</w:t>
      </w:r>
    </w:p>
    <w:p w14:paraId="0D03327C" w14:textId="77777777" w:rsidR="00D61906" w:rsidRDefault="00D61906" w:rsidP="00D61906">
      <w:pPr>
        <w:pStyle w:val="Doc-text2"/>
        <w:tabs>
          <w:tab w:val="left" w:pos="340"/>
        </w:tabs>
        <w:ind w:left="0" w:firstLine="0"/>
        <w:jc w:val="both"/>
        <w:rPr>
          <w:lang w:val="en-GB"/>
        </w:rPr>
      </w:pPr>
    </w:p>
    <w:p w14:paraId="06A008E6" w14:textId="14F8BFCF" w:rsidR="00AB2A66" w:rsidRDefault="00AB2A66" w:rsidP="00D61906">
      <w:pPr>
        <w:pStyle w:val="Doc-text2"/>
        <w:tabs>
          <w:tab w:val="left" w:pos="340"/>
        </w:tabs>
        <w:ind w:left="0" w:firstLine="0"/>
        <w:jc w:val="both"/>
        <w:rPr>
          <w:lang w:val="en-GB"/>
        </w:rPr>
      </w:pPr>
      <w:r>
        <w:rPr>
          <w:lang w:val="en-GB"/>
        </w:rPr>
        <w:t xml:space="preserve">In LTE-DC, </w:t>
      </w:r>
      <w:r w:rsidR="00C37106">
        <w:rPr>
          <w:lang w:val="en-GB"/>
        </w:rPr>
        <w:t>m</w:t>
      </w:r>
      <w:r w:rsidRPr="00AB2A66">
        <w:rPr>
          <w:lang w:val="en-GB"/>
        </w:rPr>
        <w:t>easured result</w:t>
      </w:r>
      <w:r w:rsidR="00C37106">
        <w:rPr>
          <w:lang w:val="en-GB"/>
        </w:rPr>
        <w:t>s</w:t>
      </w:r>
      <w:r w:rsidRPr="00AB2A66">
        <w:rPr>
          <w:lang w:val="en-GB"/>
        </w:rPr>
        <w:t xml:space="preserve"> </w:t>
      </w:r>
      <w:r w:rsidR="007630C2">
        <w:rPr>
          <w:lang w:val="en-GB"/>
        </w:rPr>
        <w:t>of sc</w:t>
      </w:r>
      <w:r w:rsidRPr="00AB2A66">
        <w:rPr>
          <w:lang w:val="en-GB"/>
        </w:rPr>
        <w:t>ells (</w:t>
      </w:r>
      <w:r w:rsidR="004E0961">
        <w:rPr>
          <w:lang w:val="en-GB"/>
        </w:rPr>
        <w:t>including</w:t>
      </w:r>
      <w:r w:rsidRPr="00AB2A66">
        <w:rPr>
          <w:lang w:val="en-GB"/>
        </w:rPr>
        <w:t xml:space="preserve"> SCG</w:t>
      </w:r>
      <w:r w:rsidR="004E0961">
        <w:rPr>
          <w:lang w:val="en-GB"/>
        </w:rPr>
        <w:t xml:space="preserve"> cells</w:t>
      </w:r>
      <w:r w:rsidRPr="00AB2A66">
        <w:rPr>
          <w:lang w:val="en-GB"/>
        </w:rPr>
        <w:t xml:space="preserve">) </w:t>
      </w:r>
      <w:r w:rsidR="004E0961">
        <w:rPr>
          <w:lang w:val="en-GB"/>
        </w:rPr>
        <w:t>are</w:t>
      </w:r>
      <w:r w:rsidRPr="00AB2A66">
        <w:rPr>
          <w:lang w:val="en-GB"/>
        </w:rPr>
        <w:t xml:space="preserve"> provided for every measurement reporting except for reporting location</w:t>
      </w:r>
      <w:r w:rsidR="004E0961">
        <w:rPr>
          <w:lang w:val="en-GB"/>
        </w:rPr>
        <w:t>. In EN-DC, however, the measurement result of NR serving cells may not be useful</w:t>
      </w:r>
      <w:r w:rsidR="00520A35">
        <w:rPr>
          <w:lang w:val="en-GB"/>
        </w:rPr>
        <w:t xml:space="preserve"> for MeNB. For example, event A1 to A6 is used in MeNB for intra-LTE mobility (e.g. intra-frequency/inter-frequency handover, scell add/remove etc.). The NR serving cell measurement results in this measurement reports would </w:t>
      </w:r>
      <w:r w:rsidR="007630C2">
        <w:rPr>
          <w:lang w:val="en-GB"/>
        </w:rPr>
        <w:t>be useless</w:t>
      </w:r>
      <w:r w:rsidR="00520A35">
        <w:rPr>
          <w:lang w:val="en-GB"/>
        </w:rPr>
        <w:t xml:space="preserve"> and result in wasting of UL radio resource.</w:t>
      </w:r>
      <w:r w:rsidR="007630C2">
        <w:rPr>
          <w:lang w:val="en-GB"/>
        </w:rPr>
        <w:t xml:space="preserve"> On the other hand, the measurement result of NR serving cells </w:t>
      </w:r>
      <w:r w:rsidR="00522DFE">
        <w:rPr>
          <w:lang w:val="en-GB"/>
        </w:rPr>
        <w:t xml:space="preserve">might be useful for LTE inter-RAT event B1/B2 related to NR cells. MeNB </w:t>
      </w:r>
      <w:r w:rsidR="007972AC">
        <w:rPr>
          <w:lang w:val="en-GB"/>
        </w:rPr>
        <w:t xml:space="preserve">may compare the measurement result of </w:t>
      </w:r>
      <w:r w:rsidR="002F3D7E">
        <w:rPr>
          <w:lang w:val="en-GB"/>
        </w:rPr>
        <w:t xml:space="preserve">PSCell and neighbour NR cell to decide whether to handover to the neighbour NR cell or remain in EN-DC operation. Therefore, we think that the NR serving cell result should only be provided in inter-RAT measurement events that is related to NR object. </w:t>
      </w:r>
    </w:p>
    <w:p w14:paraId="1BD5A755" w14:textId="77777777" w:rsidR="00053EB7" w:rsidRDefault="00053EB7" w:rsidP="0046131B">
      <w:pPr>
        <w:pStyle w:val="Doc-text2"/>
        <w:tabs>
          <w:tab w:val="left" w:pos="340"/>
        </w:tabs>
        <w:ind w:left="0" w:firstLine="0"/>
        <w:jc w:val="both"/>
      </w:pPr>
    </w:p>
    <w:p w14:paraId="3FA01830" w14:textId="33CF9D57" w:rsidR="0046131B" w:rsidRDefault="0046131B" w:rsidP="0046131B">
      <w:pPr>
        <w:pStyle w:val="Doc-text2"/>
        <w:tabs>
          <w:tab w:val="left" w:pos="340"/>
        </w:tabs>
        <w:ind w:left="0" w:firstLine="0"/>
        <w:jc w:val="both"/>
        <w:rPr>
          <w:b/>
        </w:rPr>
      </w:pPr>
      <w:r w:rsidRPr="00B9627E">
        <w:rPr>
          <w:b/>
        </w:rPr>
        <w:t>Proposal</w:t>
      </w:r>
      <w:r>
        <w:rPr>
          <w:b/>
        </w:rPr>
        <w:t xml:space="preserve"> 4: </w:t>
      </w:r>
      <w:r w:rsidR="001106E6">
        <w:rPr>
          <w:b/>
        </w:rPr>
        <w:t xml:space="preserve">In EN-DC, </w:t>
      </w:r>
      <w:r w:rsidR="00535891" w:rsidRPr="00535891">
        <w:rPr>
          <w:b/>
          <w:lang w:val="en-GB"/>
        </w:rPr>
        <w:t>NR SN serving cell mea</w:t>
      </w:r>
      <w:r w:rsidR="00535891">
        <w:rPr>
          <w:b/>
          <w:lang w:val="en-GB"/>
        </w:rPr>
        <w:t xml:space="preserve">surements are </w:t>
      </w:r>
      <w:r w:rsidR="00535891" w:rsidRPr="00535891">
        <w:rPr>
          <w:b/>
          <w:lang w:val="en-GB"/>
        </w:rPr>
        <w:t>provided in LTE measurement reports</w:t>
      </w:r>
      <w:r w:rsidR="00EB2156">
        <w:rPr>
          <w:b/>
          <w:lang w:val="en-GB"/>
        </w:rPr>
        <w:t xml:space="preserve"> </w:t>
      </w:r>
      <w:r w:rsidR="001106E6">
        <w:rPr>
          <w:b/>
          <w:lang w:val="en-GB"/>
        </w:rPr>
        <w:t>which are related</w:t>
      </w:r>
      <w:r w:rsidR="00EB2156">
        <w:rPr>
          <w:b/>
          <w:lang w:val="en-GB"/>
        </w:rPr>
        <w:t xml:space="preserve"> </w:t>
      </w:r>
      <w:r w:rsidR="001106E6">
        <w:rPr>
          <w:b/>
          <w:lang w:val="en-GB"/>
        </w:rPr>
        <w:t xml:space="preserve">to NR </w:t>
      </w:r>
      <w:r w:rsidR="00ED1A94">
        <w:rPr>
          <w:b/>
          <w:lang w:val="en-GB"/>
        </w:rPr>
        <w:t xml:space="preserve">Inter-RAT </w:t>
      </w:r>
      <w:r w:rsidR="00EB2156">
        <w:rPr>
          <w:b/>
          <w:lang w:val="en-GB"/>
        </w:rPr>
        <w:t xml:space="preserve">measurement </w:t>
      </w:r>
      <w:r w:rsidR="00ED1A94">
        <w:rPr>
          <w:b/>
          <w:lang w:val="en-GB"/>
        </w:rPr>
        <w:t xml:space="preserve">event </w:t>
      </w:r>
      <w:r w:rsidR="00EB2156">
        <w:rPr>
          <w:b/>
          <w:lang w:val="en-GB"/>
        </w:rPr>
        <w:t>(i.e. Event B1/B2 that is link</w:t>
      </w:r>
      <w:r w:rsidR="001106E6">
        <w:rPr>
          <w:b/>
          <w:lang w:val="en-GB"/>
        </w:rPr>
        <w:t>ed</w:t>
      </w:r>
      <w:r w:rsidR="00EB2156">
        <w:rPr>
          <w:b/>
          <w:lang w:val="en-GB"/>
        </w:rPr>
        <w:t xml:space="preserve"> to a NR measurement object)</w:t>
      </w:r>
      <w:r>
        <w:rPr>
          <w:b/>
          <w:lang w:val="en-GB"/>
        </w:rPr>
        <w:t>.</w:t>
      </w:r>
      <w:r w:rsidR="00EB2156">
        <w:rPr>
          <w:b/>
          <w:lang w:val="en-GB"/>
        </w:rPr>
        <w:t xml:space="preserve"> </w:t>
      </w:r>
    </w:p>
    <w:p w14:paraId="6C0F7B0D" w14:textId="77777777" w:rsidR="00EF20EF" w:rsidRDefault="00EF20EF" w:rsidP="00EF20EF">
      <w:pPr>
        <w:pStyle w:val="Doc-text2"/>
        <w:tabs>
          <w:tab w:val="left" w:pos="340"/>
        </w:tabs>
        <w:ind w:left="0" w:firstLine="0"/>
        <w:jc w:val="both"/>
      </w:pPr>
    </w:p>
    <w:p w14:paraId="58B71BCC" w14:textId="3984E3F0" w:rsidR="00EF20EF" w:rsidRDefault="00EF20EF">
      <w:pPr>
        <w:pStyle w:val="Heading2"/>
      </w:pPr>
      <w:r>
        <w:t>2.3</w:t>
      </w:r>
      <w:r w:rsidR="00D10992">
        <w:t xml:space="preserve"> LTE measurement gap design for NR cell measurement</w:t>
      </w:r>
    </w:p>
    <w:p w14:paraId="11BB1932" w14:textId="56BF19F0" w:rsidR="00EF20EF" w:rsidRDefault="00E14B24" w:rsidP="00EF20EF">
      <w:pPr>
        <w:pStyle w:val="Doc-text2"/>
        <w:tabs>
          <w:tab w:val="left" w:pos="340"/>
        </w:tabs>
        <w:ind w:left="0" w:firstLine="0"/>
        <w:jc w:val="both"/>
      </w:pPr>
      <w:r>
        <w:t xml:space="preserve">In </w:t>
      </w:r>
      <w:r w:rsidRPr="0027493D">
        <w:t>Berlin</w:t>
      </w:r>
      <w:r>
        <w:t xml:space="preserve"> meeting, RAN2 </w:t>
      </w:r>
      <w:r w:rsidR="00634F71">
        <w:t>discussed</w:t>
      </w:r>
      <w:r>
        <w:t xml:space="preserve"> about the LTE measurement gap design for NR </w:t>
      </w:r>
      <w:r w:rsidRPr="00E14B24">
        <w:t>cell measurement</w:t>
      </w:r>
      <w:r>
        <w:t xml:space="preserve">. </w:t>
      </w:r>
      <w:r w:rsidR="00634F71">
        <w:t xml:space="preserve">RAN2 tried to send a LS to RAN4 but there is no </w:t>
      </w:r>
      <w:r w:rsidR="009B5EB0">
        <w:t>consensus on the content of the LS.</w:t>
      </w:r>
    </w:p>
    <w:p w14:paraId="51C23B1A" w14:textId="77777777" w:rsidR="00EF20EF" w:rsidRDefault="00EF20EF" w:rsidP="00EF20EF">
      <w:pPr>
        <w:pStyle w:val="Doc-text2"/>
        <w:tabs>
          <w:tab w:val="left" w:pos="340"/>
        </w:tabs>
        <w:ind w:left="0" w:firstLine="0"/>
        <w:jc w:val="both"/>
      </w:pPr>
    </w:p>
    <w:p w14:paraId="14E00949" w14:textId="77777777" w:rsidR="00634F71" w:rsidRPr="00503D7F" w:rsidRDefault="00634F71" w:rsidP="00634F71">
      <w:pPr>
        <w:pStyle w:val="Doc-text2"/>
      </w:pPr>
      <w:r w:rsidRPr="00503D7F">
        <w:t>=&gt;</w:t>
      </w:r>
      <w:r w:rsidRPr="00503D7F">
        <w:tab/>
        <w:t>Consult RAN4 whether the existing measurement gap patterns are applicable for NR measurements are whether new patterns need to be introduced. Ask if there is any impact due to the NR SSB periodicity.</w:t>
      </w:r>
    </w:p>
    <w:p w14:paraId="71D1005F" w14:textId="77777777" w:rsidR="00634F71" w:rsidRPr="00503D7F" w:rsidRDefault="00634F71" w:rsidP="00634F71">
      <w:pPr>
        <w:pStyle w:val="Doc-text2"/>
      </w:pPr>
      <w:r w:rsidRPr="00503D7F">
        <w:tab/>
        <w:t>Consult RAN1/4 whether measurement gap configurations per frequency or per RAT need to be supported in LTE for inter-RAT measurement from LTE to NR.</w:t>
      </w:r>
    </w:p>
    <w:p w14:paraId="74B1822F" w14:textId="77777777" w:rsidR="00634F71" w:rsidRPr="00503D7F" w:rsidRDefault="00634F71" w:rsidP="00634F71">
      <w:pPr>
        <w:pStyle w:val="Doc-text2"/>
      </w:pPr>
      <w:r w:rsidRPr="00503D7F">
        <w:t>=&gt;</w:t>
      </w:r>
      <w:r w:rsidRPr="00503D7F">
        <w:tab/>
        <w:t>Will not be sent.</w:t>
      </w:r>
    </w:p>
    <w:p w14:paraId="18581D45" w14:textId="77777777" w:rsidR="00FA5758" w:rsidRDefault="00FA5758" w:rsidP="00FA5758">
      <w:pPr>
        <w:pStyle w:val="Doc-text2"/>
        <w:tabs>
          <w:tab w:val="left" w:pos="340"/>
        </w:tabs>
        <w:ind w:left="0" w:firstLine="0"/>
        <w:jc w:val="both"/>
      </w:pPr>
    </w:p>
    <w:p w14:paraId="579D9C78" w14:textId="6E0F5B78" w:rsidR="00FA5758" w:rsidRDefault="00FA5758" w:rsidP="00634F71">
      <w:pPr>
        <w:pStyle w:val="Doc-text2"/>
        <w:tabs>
          <w:tab w:val="left" w:pos="340"/>
        </w:tabs>
        <w:ind w:left="0" w:firstLine="0"/>
        <w:jc w:val="both"/>
      </w:pPr>
      <w:r>
        <w:t xml:space="preserve">RAN2 has </w:t>
      </w:r>
      <w:r w:rsidR="003230BD">
        <w:t xml:space="preserve">also </w:t>
      </w:r>
      <w:r>
        <w:t xml:space="preserve">decided that NR measurement gap will be waiting for RAN4’s decision. </w:t>
      </w:r>
    </w:p>
    <w:p w14:paraId="388A26EB" w14:textId="77777777" w:rsidR="00FA5758" w:rsidRDefault="00FA5758" w:rsidP="00634F71">
      <w:pPr>
        <w:pStyle w:val="Doc-text2"/>
        <w:tabs>
          <w:tab w:val="left" w:pos="340"/>
        </w:tabs>
        <w:ind w:left="0" w:firstLine="0"/>
        <w:jc w:val="both"/>
      </w:pPr>
    </w:p>
    <w:p w14:paraId="18649AFC" w14:textId="7E938093" w:rsidR="00FA5758" w:rsidRDefault="00FA5758" w:rsidP="003230BD">
      <w:pPr>
        <w:pStyle w:val="Doc-text2"/>
      </w:pPr>
      <w:r w:rsidRPr="00503D7F">
        <w:t>=&gt;</w:t>
      </w:r>
      <w:r w:rsidRPr="00503D7F">
        <w:tab/>
        <w:t>We will wait for RAN4 to provide us with information before we progress with measurement gaps.</w:t>
      </w:r>
    </w:p>
    <w:p w14:paraId="669A81F9" w14:textId="77777777" w:rsidR="00FA5758" w:rsidRDefault="00FA5758" w:rsidP="00634F71">
      <w:pPr>
        <w:pStyle w:val="Doc-text2"/>
        <w:tabs>
          <w:tab w:val="left" w:pos="340"/>
        </w:tabs>
        <w:ind w:left="0" w:firstLine="0"/>
        <w:jc w:val="both"/>
      </w:pPr>
    </w:p>
    <w:p w14:paraId="5C8F4089" w14:textId="76B47611" w:rsidR="009B5EB0" w:rsidRDefault="00634F71" w:rsidP="007F6B7F">
      <w:pPr>
        <w:pStyle w:val="Doc-text2"/>
        <w:tabs>
          <w:tab w:val="left" w:pos="340"/>
        </w:tabs>
        <w:ind w:left="0" w:firstLine="0"/>
        <w:jc w:val="both"/>
      </w:pPr>
      <w:r>
        <w:t>At the same Berlin meeting, RAN</w:t>
      </w:r>
      <w:r w:rsidR="009B5EB0">
        <w:t xml:space="preserve">4 made the following agreement for measurement gap design. </w:t>
      </w:r>
    </w:p>
    <w:tbl>
      <w:tblPr>
        <w:tblStyle w:val="TableGrid"/>
        <w:tblW w:w="0" w:type="auto"/>
        <w:jc w:val="center"/>
        <w:tblLook w:val="04A0" w:firstRow="1" w:lastRow="0" w:firstColumn="1" w:lastColumn="0" w:noHBand="0" w:noVBand="1"/>
      </w:tblPr>
      <w:tblGrid>
        <w:gridCol w:w="9855"/>
      </w:tblGrid>
      <w:tr w:rsidR="009B5EB0" w14:paraId="1F1C06C8" w14:textId="77777777" w:rsidTr="009B5EB0">
        <w:trPr>
          <w:jc w:val="center"/>
        </w:trPr>
        <w:tc>
          <w:tcPr>
            <w:tcW w:w="9855" w:type="dxa"/>
          </w:tcPr>
          <w:p w14:paraId="7EABA55A" w14:textId="77777777" w:rsidR="009B5EB0" w:rsidRPr="00BB0EBC" w:rsidRDefault="009B5EB0" w:rsidP="009C7F4C">
            <w:pPr>
              <w:spacing w:after="0"/>
              <w:ind w:right="-101"/>
              <w:jc w:val="both"/>
            </w:pPr>
            <w:r w:rsidRPr="00BB0EBC">
              <w:t>MGL:</w:t>
            </w:r>
          </w:p>
          <w:p w14:paraId="19F368E1" w14:textId="77777777" w:rsidR="009B5EB0" w:rsidRPr="00BB0EBC" w:rsidRDefault="009B5EB0" w:rsidP="009B5EB0">
            <w:pPr>
              <w:pStyle w:val="ListParagraph"/>
              <w:numPr>
                <w:ilvl w:val="0"/>
                <w:numId w:val="19"/>
              </w:numPr>
              <w:ind w:right="-101"/>
              <w:jc w:val="both"/>
              <w:rPr>
                <w:rFonts w:ascii="Times New Roman" w:hAnsi="Times New Roman"/>
                <w:sz w:val="20"/>
                <w:szCs w:val="20"/>
              </w:rPr>
            </w:pPr>
            <w:r w:rsidRPr="00BB0EBC">
              <w:rPr>
                <w:rFonts w:ascii="Times New Roman" w:hAnsi="Times New Roman"/>
                <w:sz w:val="20"/>
                <w:szCs w:val="20"/>
              </w:rPr>
              <w:t>MGL=6ms is agreed</w:t>
            </w:r>
          </w:p>
          <w:p w14:paraId="2A0B4AE5" w14:textId="77777777" w:rsidR="009B5EB0" w:rsidRPr="00BB0EBC" w:rsidRDefault="009B5EB0" w:rsidP="009B5EB0">
            <w:pPr>
              <w:pStyle w:val="ListParagraph"/>
              <w:numPr>
                <w:ilvl w:val="0"/>
                <w:numId w:val="19"/>
              </w:numPr>
              <w:ind w:right="-101"/>
              <w:jc w:val="both"/>
              <w:rPr>
                <w:rFonts w:ascii="Times New Roman" w:hAnsi="Times New Roman"/>
                <w:sz w:val="20"/>
                <w:szCs w:val="20"/>
              </w:rPr>
            </w:pPr>
            <w:r w:rsidRPr="00BB0EBC">
              <w:rPr>
                <w:rFonts w:ascii="Times New Roman" w:hAnsi="Times New Roman"/>
                <w:sz w:val="20"/>
                <w:szCs w:val="20"/>
              </w:rPr>
              <w:t>It is FFS to introduce MGL shorter than 6ms for both sub-6GHz and mmWave</w:t>
            </w:r>
          </w:p>
          <w:p w14:paraId="0E44EDCA" w14:textId="77777777" w:rsidR="009B5EB0" w:rsidRPr="00BB0EBC" w:rsidRDefault="009B5EB0" w:rsidP="009C7F4C">
            <w:pPr>
              <w:spacing w:after="0"/>
              <w:ind w:right="-101"/>
              <w:jc w:val="both"/>
            </w:pPr>
            <w:r w:rsidRPr="00BB0EBC">
              <w:t>MGRP:</w:t>
            </w:r>
          </w:p>
          <w:p w14:paraId="05631383" w14:textId="77777777" w:rsidR="009B5EB0" w:rsidRDefault="009B5EB0" w:rsidP="009B5EB0">
            <w:pPr>
              <w:pStyle w:val="ListParagraph"/>
              <w:numPr>
                <w:ilvl w:val="0"/>
                <w:numId w:val="20"/>
              </w:numPr>
              <w:ind w:right="-101"/>
              <w:jc w:val="both"/>
              <w:rPr>
                <w:rFonts w:ascii="Times New Roman" w:hAnsi="Times New Roman"/>
                <w:sz w:val="20"/>
                <w:szCs w:val="20"/>
              </w:rPr>
            </w:pPr>
            <w:r w:rsidRPr="00BB0EBC">
              <w:rPr>
                <w:rFonts w:ascii="Times New Roman" w:hAnsi="Times New Roman"/>
                <w:sz w:val="20"/>
                <w:szCs w:val="20"/>
              </w:rPr>
              <w:t>For NSA</w:t>
            </w:r>
          </w:p>
          <w:p w14:paraId="44F033C0" w14:textId="77777777" w:rsidR="009B5EB0" w:rsidRDefault="009B5EB0" w:rsidP="009B5EB0">
            <w:pPr>
              <w:pStyle w:val="ListParagraph"/>
              <w:numPr>
                <w:ilvl w:val="0"/>
                <w:numId w:val="21"/>
              </w:numPr>
              <w:ind w:right="-101"/>
              <w:jc w:val="both"/>
              <w:rPr>
                <w:rFonts w:ascii="Times New Roman" w:hAnsi="Times New Roman"/>
                <w:sz w:val="20"/>
                <w:szCs w:val="20"/>
              </w:rPr>
            </w:pPr>
            <w:r w:rsidRPr="00BB0EBC">
              <w:rPr>
                <w:rFonts w:ascii="Times New Roman" w:hAnsi="Times New Roman"/>
                <w:sz w:val="20"/>
                <w:szCs w:val="20"/>
              </w:rPr>
              <w:t>MGRP: 40ms, 80ms, 160ms</w:t>
            </w:r>
          </w:p>
          <w:p w14:paraId="4DFE1834" w14:textId="77777777" w:rsidR="009B5EB0" w:rsidRDefault="009B5EB0" w:rsidP="009B5EB0">
            <w:pPr>
              <w:pStyle w:val="ListParagraph"/>
              <w:numPr>
                <w:ilvl w:val="0"/>
                <w:numId w:val="21"/>
              </w:numPr>
              <w:ind w:right="-101"/>
              <w:jc w:val="both"/>
              <w:rPr>
                <w:rFonts w:ascii="Times New Roman" w:hAnsi="Times New Roman"/>
                <w:sz w:val="20"/>
                <w:szCs w:val="20"/>
              </w:rPr>
            </w:pPr>
            <w:r w:rsidRPr="00BB0EBC">
              <w:rPr>
                <w:rFonts w:ascii="Times New Roman" w:hAnsi="Times New Roman"/>
                <w:sz w:val="20"/>
                <w:szCs w:val="20"/>
              </w:rPr>
              <w:t>If there is LTE inter-frequency layer to be monitored, 160ms MGRP won’t be used.</w:t>
            </w:r>
          </w:p>
          <w:p w14:paraId="27F3595C" w14:textId="77777777" w:rsidR="009B5EB0" w:rsidRDefault="009B5EB0" w:rsidP="009B5EB0">
            <w:pPr>
              <w:pStyle w:val="ListParagraph"/>
              <w:numPr>
                <w:ilvl w:val="0"/>
                <w:numId w:val="21"/>
              </w:numPr>
              <w:ind w:right="-101"/>
              <w:jc w:val="both"/>
              <w:rPr>
                <w:rFonts w:ascii="Times New Roman" w:hAnsi="Times New Roman"/>
                <w:sz w:val="20"/>
                <w:szCs w:val="20"/>
              </w:rPr>
            </w:pPr>
            <w:r w:rsidRPr="00BB0EBC">
              <w:rPr>
                <w:rFonts w:ascii="Times New Roman" w:hAnsi="Times New Roman"/>
                <w:sz w:val="20"/>
                <w:szCs w:val="20"/>
              </w:rPr>
              <w:t>RAN4 will not define LTE inter-frequency requirements based on 160ms MGRP</w:t>
            </w:r>
          </w:p>
          <w:p w14:paraId="3DB7E96D" w14:textId="77777777" w:rsidR="009B5EB0" w:rsidRPr="00BB0EBC" w:rsidRDefault="009B5EB0" w:rsidP="009B5EB0">
            <w:pPr>
              <w:pStyle w:val="ListParagraph"/>
              <w:numPr>
                <w:ilvl w:val="0"/>
                <w:numId w:val="21"/>
              </w:numPr>
              <w:ind w:right="-101"/>
              <w:jc w:val="both"/>
              <w:rPr>
                <w:rFonts w:ascii="Times New Roman" w:hAnsi="Times New Roman"/>
                <w:sz w:val="20"/>
                <w:szCs w:val="20"/>
              </w:rPr>
            </w:pPr>
            <w:r w:rsidRPr="00BB0EBC">
              <w:rPr>
                <w:rFonts w:ascii="Times New Roman" w:hAnsi="Times New Roman"/>
                <w:sz w:val="20"/>
                <w:szCs w:val="20"/>
              </w:rPr>
              <w:t xml:space="preserve">It is FFS if shorter MGRP is needed </w:t>
            </w:r>
          </w:p>
          <w:p w14:paraId="5382CD9E" w14:textId="77777777" w:rsidR="009B5EB0" w:rsidRDefault="009B5EB0" w:rsidP="009B5EB0">
            <w:pPr>
              <w:pStyle w:val="ListParagraph"/>
              <w:numPr>
                <w:ilvl w:val="0"/>
                <w:numId w:val="20"/>
              </w:numPr>
              <w:ind w:right="-101"/>
              <w:jc w:val="both"/>
              <w:rPr>
                <w:rFonts w:ascii="Times New Roman" w:hAnsi="Times New Roman"/>
                <w:sz w:val="20"/>
                <w:szCs w:val="20"/>
              </w:rPr>
            </w:pPr>
            <w:r w:rsidRPr="00BB0EBC">
              <w:rPr>
                <w:rFonts w:ascii="Times New Roman" w:hAnsi="Times New Roman"/>
                <w:sz w:val="20"/>
                <w:szCs w:val="20"/>
              </w:rPr>
              <w:t>For SA</w:t>
            </w:r>
          </w:p>
          <w:p w14:paraId="5C170A20" w14:textId="77777777" w:rsidR="009B5EB0" w:rsidRDefault="009B5EB0" w:rsidP="009B5EB0">
            <w:pPr>
              <w:pStyle w:val="ListParagraph"/>
              <w:numPr>
                <w:ilvl w:val="0"/>
                <w:numId w:val="22"/>
              </w:numPr>
              <w:ind w:right="-101"/>
              <w:jc w:val="both"/>
              <w:rPr>
                <w:rFonts w:ascii="Times New Roman" w:hAnsi="Times New Roman"/>
                <w:sz w:val="20"/>
                <w:szCs w:val="20"/>
              </w:rPr>
            </w:pPr>
            <w:r w:rsidRPr="00BB0EBC">
              <w:rPr>
                <w:rFonts w:ascii="Times New Roman" w:hAnsi="Times New Roman"/>
                <w:sz w:val="20"/>
                <w:szCs w:val="20"/>
              </w:rPr>
              <w:t xml:space="preserve">Candidates: 40ms, 80ms, 160ms </w:t>
            </w:r>
          </w:p>
          <w:p w14:paraId="0FF402CC" w14:textId="500C0D06" w:rsidR="009B5EB0" w:rsidRPr="009B5EB0" w:rsidRDefault="009B5EB0" w:rsidP="009B5EB0">
            <w:pPr>
              <w:pStyle w:val="ListParagraph"/>
              <w:numPr>
                <w:ilvl w:val="0"/>
                <w:numId w:val="22"/>
              </w:numPr>
              <w:ind w:right="-101"/>
              <w:jc w:val="both"/>
              <w:rPr>
                <w:rFonts w:ascii="Times New Roman" w:hAnsi="Times New Roman"/>
                <w:sz w:val="20"/>
                <w:szCs w:val="20"/>
              </w:rPr>
            </w:pPr>
            <w:r w:rsidRPr="00BB0EBC">
              <w:rPr>
                <w:rFonts w:ascii="Times New Roman" w:hAnsi="Times New Roman"/>
                <w:sz w:val="20"/>
                <w:szCs w:val="20"/>
              </w:rPr>
              <w:t>It is FFS if shorter MGRP is needed</w:t>
            </w:r>
          </w:p>
        </w:tc>
      </w:tr>
    </w:tbl>
    <w:p w14:paraId="2D3136C8" w14:textId="77777777" w:rsidR="009B5EB0" w:rsidRDefault="009B5EB0" w:rsidP="00EF20EF">
      <w:pPr>
        <w:pStyle w:val="Doc-text2"/>
        <w:tabs>
          <w:tab w:val="left" w:pos="340"/>
        </w:tabs>
        <w:ind w:left="0" w:firstLine="0"/>
        <w:jc w:val="both"/>
        <w:rPr>
          <w:lang w:val="en-GB"/>
        </w:rPr>
      </w:pPr>
    </w:p>
    <w:p w14:paraId="31AA138B" w14:textId="012238F9" w:rsidR="00FA5758" w:rsidRDefault="00634F71" w:rsidP="00FA5758">
      <w:pPr>
        <w:pStyle w:val="Doc-text2"/>
        <w:tabs>
          <w:tab w:val="left" w:pos="340"/>
        </w:tabs>
        <w:ind w:left="0" w:firstLine="0"/>
        <w:jc w:val="both"/>
      </w:pPr>
      <w:r>
        <w:t>We think that</w:t>
      </w:r>
      <w:r w:rsidR="00FA5758">
        <w:t xml:space="preserve"> measurement gap design is mostly done by RAN4. RAN2 is </w:t>
      </w:r>
      <w:r w:rsidR="003230BD">
        <w:t xml:space="preserve">only </w:t>
      </w:r>
      <w:r w:rsidR="003230BD" w:rsidRPr="003230BD">
        <w:t xml:space="preserve">responsible </w:t>
      </w:r>
      <w:r w:rsidR="00FA5758">
        <w:t>for configuration of the measurement gap</w:t>
      </w:r>
      <w:r w:rsidR="003230BD">
        <w:t xml:space="preserve"> pattern</w:t>
      </w:r>
      <w:r w:rsidR="00FA5758">
        <w:t>. Base on the last RAN4 agreements, RAN4 are discussing the measurement g</w:t>
      </w:r>
      <w:r w:rsidR="00985C05">
        <w:t xml:space="preserve">ap design for both SA and NSA. </w:t>
      </w:r>
      <w:r w:rsidR="003230BD">
        <w:t xml:space="preserve">Therefore, we think LTE measurement gap pattern should keep current design as a baseline. RAN2 should wait RAN4’s </w:t>
      </w:r>
      <w:r w:rsidR="000B7059">
        <w:t>input</w:t>
      </w:r>
      <w:r w:rsidR="003230BD">
        <w:t xml:space="preserve"> for this topic.</w:t>
      </w:r>
    </w:p>
    <w:p w14:paraId="66173336" w14:textId="77777777" w:rsidR="00D10992" w:rsidRPr="005E3BCE" w:rsidRDefault="00D10992" w:rsidP="00D10992">
      <w:pPr>
        <w:pStyle w:val="Doc-text2"/>
        <w:tabs>
          <w:tab w:val="left" w:pos="340"/>
        </w:tabs>
        <w:ind w:left="0" w:firstLine="0"/>
        <w:jc w:val="both"/>
        <w:rPr>
          <w:b/>
          <w:lang w:val="en-GB"/>
        </w:rPr>
      </w:pPr>
    </w:p>
    <w:p w14:paraId="293B16E5" w14:textId="506108A8" w:rsidR="00A57674" w:rsidRPr="003230BD" w:rsidRDefault="007F6B7F" w:rsidP="00EF20EF">
      <w:pPr>
        <w:pStyle w:val="Doc-text2"/>
        <w:tabs>
          <w:tab w:val="left" w:pos="340"/>
        </w:tabs>
        <w:ind w:left="0" w:firstLine="0"/>
        <w:jc w:val="both"/>
        <w:rPr>
          <w:b/>
          <w:lang w:val="en-GB"/>
        </w:rPr>
      </w:pPr>
      <w:r>
        <w:rPr>
          <w:b/>
          <w:lang w:val="en-GB"/>
        </w:rPr>
        <w:t>Proposal 5</w:t>
      </w:r>
      <w:r w:rsidR="00D10992" w:rsidRPr="005E3BCE">
        <w:rPr>
          <w:b/>
          <w:lang w:val="en-GB"/>
        </w:rPr>
        <w:t xml:space="preserve">: </w:t>
      </w:r>
      <w:r w:rsidR="00D10992">
        <w:rPr>
          <w:b/>
          <w:lang w:val="en-GB"/>
        </w:rPr>
        <w:t xml:space="preserve">RAN2 wait </w:t>
      </w:r>
      <w:r w:rsidR="00D10992" w:rsidRPr="00E46D36">
        <w:rPr>
          <w:b/>
          <w:lang w:val="en-GB"/>
        </w:rPr>
        <w:t xml:space="preserve">RAN4 </w:t>
      </w:r>
      <w:r w:rsidR="00D10992">
        <w:rPr>
          <w:b/>
          <w:lang w:val="en-GB"/>
        </w:rPr>
        <w:t>to provide the measurement gap design for LTE, NR, and EN-DC.</w:t>
      </w:r>
    </w:p>
    <w:p w14:paraId="593746F3" w14:textId="3CFE087C" w:rsidR="00DE28E0" w:rsidRPr="00844B7D" w:rsidRDefault="006214DC" w:rsidP="00844B7D">
      <w:pPr>
        <w:pStyle w:val="Heading1"/>
        <w:ind w:left="0" w:firstLine="0"/>
        <w:rPr>
          <w:lang w:val="en-US" w:eastAsia="ko-KR"/>
        </w:rPr>
      </w:pPr>
      <w:r>
        <w:rPr>
          <w:lang w:val="en-US" w:eastAsia="ko-KR"/>
        </w:rPr>
        <w:lastRenderedPageBreak/>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62340E48" w14:textId="77777777" w:rsidR="00DE28E0" w:rsidRDefault="00DE28E0" w:rsidP="00DE28E0">
      <w:pPr>
        <w:pStyle w:val="Doc-text2"/>
        <w:tabs>
          <w:tab w:val="left" w:pos="340"/>
        </w:tabs>
        <w:ind w:left="0" w:firstLine="0"/>
        <w:jc w:val="both"/>
        <w:rPr>
          <w:b/>
        </w:rPr>
      </w:pPr>
    </w:p>
    <w:p w14:paraId="171873BA" w14:textId="77777777" w:rsidR="00400BDC" w:rsidRDefault="00400BDC" w:rsidP="00400BDC">
      <w:pPr>
        <w:pStyle w:val="Doc-text2"/>
        <w:tabs>
          <w:tab w:val="left" w:pos="340"/>
        </w:tabs>
        <w:ind w:left="0" w:firstLine="0"/>
        <w:jc w:val="both"/>
        <w:rPr>
          <w:b/>
        </w:rPr>
      </w:pPr>
      <w:r w:rsidRPr="00B9627E">
        <w:rPr>
          <w:b/>
        </w:rPr>
        <w:t>Proposal</w:t>
      </w:r>
      <w:r>
        <w:rPr>
          <w:b/>
        </w:rPr>
        <w:t xml:space="preserve"> 1: </w:t>
      </w:r>
      <w:r w:rsidRPr="004A0A6A">
        <w:rPr>
          <w:b/>
          <w:lang w:val="en-GB"/>
        </w:rPr>
        <w:t xml:space="preserve">For EN-DC, </w:t>
      </w:r>
      <w:r>
        <w:rPr>
          <w:b/>
          <w:lang w:val="en-GB"/>
        </w:rPr>
        <w:t xml:space="preserve">in Rel-15, </w:t>
      </w:r>
      <w:r w:rsidRPr="004A0A6A">
        <w:rPr>
          <w:b/>
          <w:lang w:val="en-GB"/>
        </w:rPr>
        <w:t xml:space="preserve">it is not necessary to </w:t>
      </w:r>
      <w:r>
        <w:rPr>
          <w:b/>
          <w:lang w:val="en-GB"/>
        </w:rPr>
        <w:t>introduce LTE</w:t>
      </w:r>
      <w:r w:rsidRPr="004A0A6A">
        <w:rPr>
          <w:b/>
          <w:lang w:val="en-GB"/>
        </w:rPr>
        <w:t xml:space="preserve"> measurement event</w:t>
      </w:r>
      <w:r>
        <w:rPr>
          <w:b/>
          <w:lang w:val="en-GB"/>
        </w:rPr>
        <w:t xml:space="preserve"> which is triggered when </w:t>
      </w:r>
      <w:r w:rsidRPr="004A0A6A">
        <w:rPr>
          <w:b/>
          <w:lang w:val="en-GB"/>
        </w:rPr>
        <w:t>NR PSCell becomes worse than an absolute threshold</w:t>
      </w:r>
      <w:r>
        <w:rPr>
          <w:b/>
          <w:lang w:val="en-GB"/>
        </w:rPr>
        <w:t>.</w:t>
      </w:r>
    </w:p>
    <w:p w14:paraId="70B04A84" w14:textId="77777777" w:rsidR="003F1154" w:rsidRDefault="003F1154" w:rsidP="00EF22C6">
      <w:pPr>
        <w:pStyle w:val="Doc-text2"/>
        <w:tabs>
          <w:tab w:val="left" w:pos="340"/>
        </w:tabs>
        <w:ind w:left="0" w:firstLine="0"/>
        <w:jc w:val="both"/>
        <w:rPr>
          <w:b/>
        </w:rPr>
      </w:pPr>
    </w:p>
    <w:p w14:paraId="2557C0D3" w14:textId="77777777" w:rsidR="00400BDC" w:rsidRDefault="00400BDC" w:rsidP="00400BDC">
      <w:pPr>
        <w:pStyle w:val="Doc-text2"/>
        <w:tabs>
          <w:tab w:val="left" w:pos="340"/>
        </w:tabs>
        <w:ind w:left="0" w:firstLine="0"/>
        <w:jc w:val="both"/>
        <w:rPr>
          <w:b/>
        </w:rPr>
      </w:pPr>
      <w:r w:rsidRPr="00B9627E">
        <w:rPr>
          <w:b/>
        </w:rPr>
        <w:t>Proposal</w:t>
      </w:r>
      <w:r>
        <w:rPr>
          <w:b/>
        </w:rPr>
        <w:t xml:space="preserve"> 2: </w:t>
      </w:r>
      <w:r w:rsidRPr="004A0A6A">
        <w:rPr>
          <w:b/>
          <w:lang w:val="en-GB"/>
        </w:rPr>
        <w:t xml:space="preserve">For EN-DC, </w:t>
      </w:r>
      <w:r>
        <w:rPr>
          <w:b/>
          <w:lang w:val="en-GB"/>
        </w:rPr>
        <w:t xml:space="preserve">in Rel-15, </w:t>
      </w:r>
      <w:r w:rsidRPr="004A0A6A">
        <w:rPr>
          <w:b/>
          <w:lang w:val="en-GB"/>
        </w:rPr>
        <w:t xml:space="preserve">it is not necessary to </w:t>
      </w:r>
      <w:r>
        <w:rPr>
          <w:b/>
          <w:lang w:val="en-GB"/>
        </w:rPr>
        <w:t>introduce LTE</w:t>
      </w:r>
      <w:r w:rsidRPr="004A0A6A">
        <w:rPr>
          <w:b/>
          <w:lang w:val="en-GB"/>
        </w:rPr>
        <w:t xml:space="preserve"> measurement event</w:t>
      </w:r>
      <w:r>
        <w:rPr>
          <w:b/>
          <w:lang w:val="en-GB"/>
        </w:rPr>
        <w:t xml:space="preserve"> which is triggered when </w:t>
      </w:r>
      <w:r w:rsidRPr="005C33A5">
        <w:rPr>
          <w:b/>
          <w:lang w:val="en-GB"/>
        </w:rPr>
        <w:t>NR PSCell becomes worse than absolute threshold1 and NR neighbour cell on a different carrier becomes better than absolute threshold2</w:t>
      </w:r>
      <w:r>
        <w:rPr>
          <w:b/>
          <w:lang w:val="en-GB"/>
        </w:rPr>
        <w:t>.</w:t>
      </w:r>
    </w:p>
    <w:p w14:paraId="201C72C6" w14:textId="77777777" w:rsidR="00400BDC" w:rsidRDefault="00400BDC" w:rsidP="00EF22C6">
      <w:pPr>
        <w:pStyle w:val="Doc-text2"/>
        <w:tabs>
          <w:tab w:val="left" w:pos="340"/>
        </w:tabs>
        <w:ind w:left="0" w:firstLine="0"/>
        <w:jc w:val="both"/>
        <w:rPr>
          <w:b/>
        </w:rPr>
      </w:pPr>
    </w:p>
    <w:p w14:paraId="6BFCCB21" w14:textId="77777777" w:rsidR="00400BDC" w:rsidRDefault="00400BDC" w:rsidP="00400BDC">
      <w:pPr>
        <w:pStyle w:val="Doc-text2"/>
        <w:tabs>
          <w:tab w:val="left" w:pos="340"/>
        </w:tabs>
        <w:ind w:left="0" w:firstLine="0"/>
        <w:jc w:val="both"/>
        <w:rPr>
          <w:b/>
          <w:lang w:val="en-GB"/>
        </w:rPr>
      </w:pPr>
      <w:r w:rsidRPr="00B9627E">
        <w:rPr>
          <w:b/>
        </w:rPr>
        <w:t>Proposal</w:t>
      </w:r>
      <w:r>
        <w:rPr>
          <w:b/>
        </w:rPr>
        <w:t xml:space="preserve"> 3: </w:t>
      </w:r>
      <w:r>
        <w:rPr>
          <w:b/>
          <w:lang w:val="en-GB"/>
        </w:rPr>
        <w:t xml:space="preserve">The </w:t>
      </w:r>
      <w:r w:rsidRPr="00990DE7">
        <w:rPr>
          <w:b/>
          <w:lang w:val="en-GB"/>
        </w:rPr>
        <w:t xml:space="preserve">LTE measurement report includes beam measurement results </w:t>
      </w:r>
      <w:r>
        <w:rPr>
          <w:b/>
          <w:lang w:val="en-GB"/>
        </w:rPr>
        <w:t xml:space="preserve">of NR cells </w:t>
      </w:r>
      <w:r w:rsidRPr="00990DE7">
        <w:rPr>
          <w:b/>
          <w:lang w:val="en-GB"/>
        </w:rPr>
        <w:t>encoded in LTE RRC format</w:t>
      </w:r>
      <w:r>
        <w:rPr>
          <w:b/>
          <w:lang w:val="en-GB"/>
        </w:rPr>
        <w:t>.</w:t>
      </w:r>
    </w:p>
    <w:p w14:paraId="0C4A9C38" w14:textId="77777777" w:rsidR="00400BDC" w:rsidRDefault="00400BDC" w:rsidP="00EF22C6">
      <w:pPr>
        <w:pStyle w:val="Doc-text2"/>
        <w:tabs>
          <w:tab w:val="left" w:pos="340"/>
        </w:tabs>
        <w:ind w:left="0" w:firstLine="0"/>
        <w:jc w:val="both"/>
        <w:rPr>
          <w:b/>
          <w:lang w:val="en-GB"/>
        </w:rPr>
      </w:pPr>
    </w:p>
    <w:p w14:paraId="795BC1B9" w14:textId="77777777" w:rsidR="00400BDC" w:rsidRDefault="00400BDC" w:rsidP="00400BDC">
      <w:pPr>
        <w:pStyle w:val="Doc-text2"/>
        <w:tabs>
          <w:tab w:val="left" w:pos="340"/>
        </w:tabs>
        <w:ind w:left="0" w:firstLine="0"/>
        <w:jc w:val="both"/>
        <w:rPr>
          <w:b/>
        </w:rPr>
      </w:pPr>
      <w:r w:rsidRPr="00B9627E">
        <w:rPr>
          <w:b/>
        </w:rPr>
        <w:t>Proposal</w:t>
      </w:r>
      <w:r>
        <w:rPr>
          <w:b/>
        </w:rPr>
        <w:t xml:space="preserve"> 4: In EN-DC, </w:t>
      </w:r>
      <w:r w:rsidRPr="00535891">
        <w:rPr>
          <w:b/>
          <w:lang w:val="en-GB"/>
        </w:rPr>
        <w:t>NR SN serving cell mea</w:t>
      </w:r>
      <w:r>
        <w:rPr>
          <w:b/>
          <w:lang w:val="en-GB"/>
        </w:rPr>
        <w:t xml:space="preserve">surements are </w:t>
      </w:r>
      <w:r w:rsidRPr="00535891">
        <w:rPr>
          <w:b/>
          <w:lang w:val="en-GB"/>
        </w:rPr>
        <w:t>provided in LTE measurement reports</w:t>
      </w:r>
      <w:r>
        <w:rPr>
          <w:b/>
          <w:lang w:val="en-GB"/>
        </w:rPr>
        <w:t xml:space="preserve"> which are related to NR Inter-RAT measurement event (i.e. Event B1/B2 that is linked to a NR measurement object). </w:t>
      </w:r>
    </w:p>
    <w:p w14:paraId="5C099697" w14:textId="77777777" w:rsidR="00400BDC" w:rsidRDefault="00400BDC" w:rsidP="00EF22C6">
      <w:pPr>
        <w:pStyle w:val="Doc-text2"/>
        <w:tabs>
          <w:tab w:val="left" w:pos="340"/>
        </w:tabs>
        <w:ind w:left="0" w:firstLine="0"/>
        <w:jc w:val="both"/>
        <w:rPr>
          <w:b/>
        </w:rPr>
      </w:pPr>
    </w:p>
    <w:p w14:paraId="7E2C0228" w14:textId="3595EE59" w:rsidR="00400BDC" w:rsidRDefault="00400BDC" w:rsidP="00EF22C6">
      <w:pPr>
        <w:pStyle w:val="Doc-text2"/>
        <w:tabs>
          <w:tab w:val="left" w:pos="340"/>
        </w:tabs>
        <w:ind w:left="0" w:firstLine="0"/>
        <w:jc w:val="both"/>
        <w:rPr>
          <w:b/>
          <w:lang w:val="en-GB"/>
        </w:rPr>
      </w:pPr>
      <w:r>
        <w:rPr>
          <w:b/>
          <w:lang w:val="en-GB"/>
        </w:rPr>
        <w:t>Proposal 5</w:t>
      </w:r>
      <w:r w:rsidRPr="005E3BCE">
        <w:rPr>
          <w:b/>
          <w:lang w:val="en-GB"/>
        </w:rPr>
        <w:t xml:space="preserve">: </w:t>
      </w:r>
      <w:r>
        <w:rPr>
          <w:b/>
          <w:lang w:val="en-GB"/>
        </w:rPr>
        <w:t xml:space="preserve">RAN2 wait </w:t>
      </w:r>
      <w:r w:rsidRPr="00E46D36">
        <w:rPr>
          <w:b/>
          <w:lang w:val="en-GB"/>
        </w:rPr>
        <w:t xml:space="preserve">RAN4 </w:t>
      </w:r>
      <w:r>
        <w:rPr>
          <w:b/>
          <w:lang w:val="en-GB"/>
        </w:rPr>
        <w:t>to provide the measurement gap design for LTE, NR, and EN-DC.</w:t>
      </w:r>
    </w:p>
    <w:p w14:paraId="58948F65" w14:textId="77777777" w:rsidR="00400BDC" w:rsidRPr="00400BDC" w:rsidRDefault="00400BDC" w:rsidP="00EF22C6">
      <w:pPr>
        <w:pStyle w:val="Doc-text2"/>
        <w:tabs>
          <w:tab w:val="left" w:pos="340"/>
        </w:tabs>
        <w:ind w:left="0" w:firstLine="0"/>
        <w:jc w:val="both"/>
        <w:rPr>
          <w:b/>
          <w:lang w:val="en-GB"/>
        </w:rPr>
      </w:pPr>
    </w:p>
    <w:p w14:paraId="0B2CB1AF" w14:textId="024CE83C" w:rsidR="00B01312" w:rsidRPr="00D11264" w:rsidRDefault="00B01312" w:rsidP="00D11264">
      <w:pPr>
        <w:spacing w:after="60"/>
        <w:rPr>
          <w:rFonts w:ascii="Arial" w:hAnsi="Arial" w:cs="Arial"/>
          <w:lang w:eastAsia="ko-KR"/>
        </w:rPr>
      </w:pPr>
      <w:bookmarkStart w:id="3" w:name="_GoBack"/>
      <w:bookmarkEnd w:id="3"/>
    </w:p>
    <w:sectPr w:rsidR="00B01312" w:rsidRPr="00D11264"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66DD2" w14:textId="77777777" w:rsidR="00764E41" w:rsidRDefault="00764E41">
      <w:r>
        <w:separator/>
      </w:r>
    </w:p>
  </w:endnote>
  <w:endnote w:type="continuationSeparator" w:id="0">
    <w:p w14:paraId="0B474B34" w14:textId="77777777" w:rsidR="00764E41" w:rsidRDefault="0076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7A4A1" w14:textId="77777777" w:rsidR="00764E41" w:rsidRDefault="00764E41">
      <w:r>
        <w:separator/>
      </w:r>
    </w:p>
  </w:footnote>
  <w:footnote w:type="continuationSeparator" w:id="0">
    <w:p w14:paraId="14F3A308" w14:textId="77777777" w:rsidR="00764E41" w:rsidRDefault="00764E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2"/>
  </w:num>
  <w:num w:numId="4">
    <w:abstractNumId w:val="16"/>
  </w:num>
  <w:num w:numId="5">
    <w:abstractNumId w:val="8"/>
  </w:num>
  <w:num w:numId="6">
    <w:abstractNumId w:val="14"/>
  </w:num>
  <w:num w:numId="7">
    <w:abstractNumId w:val="15"/>
  </w:num>
  <w:num w:numId="8">
    <w:abstractNumId w:val="13"/>
  </w:num>
  <w:num w:numId="9">
    <w:abstractNumId w:val="2"/>
  </w:num>
  <w:num w:numId="10">
    <w:abstractNumId w:val="5"/>
  </w:num>
  <w:num w:numId="11">
    <w:abstractNumId w:val="17"/>
  </w:num>
  <w:num w:numId="12">
    <w:abstractNumId w:val="9"/>
  </w:num>
  <w:num w:numId="13">
    <w:abstractNumId w:val="1"/>
  </w:num>
  <w:num w:numId="14">
    <w:abstractNumId w:val="20"/>
  </w:num>
  <w:num w:numId="15">
    <w:abstractNumId w:val="4"/>
  </w:num>
  <w:num w:numId="16">
    <w:abstractNumId w:val="18"/>
  </w:num>
  <w:num w:numId="17">
    <w:abstractNumId w:val="6"/>
  </w:num>
  <w:num w:numId="18">
    <w:abstractNumId w:val="10"/>
  </w:num>
  <w:num w:numId="19">
    <w:abstractNumId w:val="7"/>
  </w:num>
  <w:num w:numId="20">
    <w:abstractNumId w:val="21"/>
  </w:num>
  <w:num w:numId="21">
    <w:abstractNumId w:val="19"/>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A6D"/>
    <w:rsid w:val="00051913"/>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5E1"/>
    <w:rsid w:val="000916F3"/>
    <w:rsid w:val="000921FB"/>
    <w:rsid w:val="00092FA7"/>
    <w:rsid w:val="0009374C"/>
    <w:rsid w:val="00093DAE"/>
    <w:rsid w:val="00094490"/>
    <w:rsid w:val="00094840"/>
    <w:rsid w:val="00095608"/>
    <w:rsid w:val="00096800"/>
    <w:rsid w:val="00096CA7"/>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059"/>
    <w:rsid w:val="000B71CD"/>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4059"/>
    <w:rsid w:val="000E48C1"/>
    <w:rsid w:val="000E4A7B"/>
    <w:rsid w:val="000E5012"/>
    <w:rsid w:val="000E576C"/>
    <w:rsid w:val="000E6C3D"/>
    <w:rsid w:val="000F0135"/>
    <w:rsid w:val="000F0675"/>
    <w:rsid w:val="000F339D"/>
    <w:rsid w:val="000F411B"/>
    <w:rsid w:val="000F42A7"/>
    <w:rsid w:val="000F467F"/>
    <w:rsid w:val="000F4EC7"/>
    <w:rsid w:val="000F51F6"/>
    <w:rsid w:val="000F53AA"/>
    <w:rsid w:val="000F5DEC"/>
    <w:rsid w:val="000F6927"/>
    <w:rsid w:val="000F7C88"/>
    <w:rsid w:val="001018A3"/>
    <w:rsid w:val="00101D78"/>
    <w:rsid w:val="001027A0"/>
    <w:rsid w:val="00102E7D"/>
    <w:rsid w:val="00103634"/>
    <w:rsid w:val="00103830"/>
    <w:rsid w:val="001045AF"/>
    <w:rsid w:val="00105194"/>
    <w:rsid w:val="001061F2"/>
    <w:rsid w:val="00106DA0"/>
    <w:rsid w:val="001070AA"/>
    <w:rsid w:val="001106E6"/>
    <w:rsid w:val="001110C6"/>
    <w:rsid w:val="00111BF5"/>
    <w:rsid w:val="00111CF7"/>
    <w:rsid w:val="00112115"/>
    <w:rsid w:val="0011355B"/>
    <w:rsid w:val="00114BBE"/>
    <w:rsid w:val="00117EF2"/>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05DE"/>
    <w:rsid w:val="00161C62"/>
    <w:rsid w:val="00162F93"/>
    <w:rsid w:val="00163241"/>
    <w:rsid w:val="0016427F"/>
    <w:rsid w:val="00165CDA"/>
    <w:rsid w:val="00167588"/>
    <w:rsid w:val="00167FC4"/>
    <w:rsid w:val="0017209C"/>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B68"/>
    <w:rsid w:val="001D4138"/>
    <w:rsid w:val="001D4B18"/>
    <w:rsid w:val="001D628D"/>
    <w:rsid w:val="001D7A4B"/>
    <w:rsid w:val="001E22CA"/>
    <w:rsid w:val="001E238F"/>
    <w:rsid w:val="001E2917"/>
    <w:rsid w:val="001E2A1F"/>
    <w:rsid w:val="001E32EB"/>
    <w:rsid w:val="001E39EA"/>
    <w:rsid w:val="001E39EE"/>
    <w:rsid w:val="001E3A60"/>
    <w:rsid w:val="001E41F3"/>
    <w:rsid w:val="001E51FF"/>
    <w:rsid w:val="001E5EAB"/>
    <w:rsid w:val="001E6F38"/>
    <w:rsid w:val="001E736E"/>
    <w:rsid w:val="001E7805"/>
    <w:rsid w:val="001E7E68"/>
    <w:rsid w:val="001E7FEA"/>
    <w:rsid w:val="001F0465"/>
    <w:rsid w:val="001F0CA8"/>
    <w:rsid w:val="001F218D"/>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CC1"/>
    <w:rsid w:val="00236310"/>
    <w:rsid w:val="00241187"/>
    <w:rsid w:val="002412AD"/>
    <w:rsid w:val="002422F3"/>
    <w:rsid w:val="00242C69"/>
    <w:rsid w:val="00243F66"/>
    <w:rsid w:val="002446BD"/>
    <w:rsid w:val="002458B2"/>
    <w:rsid w:val="002460C7"/>
    <w:rsid w:val="00246EED"/>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33ED"/>
    <w:rsid w:val="0027493D"/>
    <w:rsid w:val="00274C15"/>
    <w:rsid w:val="00275390"/>
    <w:rsid w:val="002753F9"/>
    <w:rsid w:val="00275BF8"/>
    <w:rsid w:val="00275D12"/>
    <w:rsid w:val="00275FE8"/>
    <w:rsid w:val="0027604A"/>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472"/>
    <w:rsid w:val="00296627"/>
    <w:rsid w:val="00296EBC"/>
    <w:rsid w:val="002971A0"/>
    <w:rsid w:val="00297B9D"/>
    <w:rsid w:val="002A246F"/>
    <w:rsid w:val="002A2497"/>
    <w:rsid w:val="002A45F5"/>
    <w:rsid w:val="002A49B1"/>
    <w:rsid w:val="002A6239"/>
    <w:rsid w:val="002A7EDA"/>
    <w:rsid w:val="002B0388"/>
    <w:rsid w:val="002B1F9F"/>
    <w:rsid w:val="002B24DC"/>
    <w:rsid w:val="002B34B2"/>
    <w:rsid w:val="002B4CB7"/>
    <w:rsid w:val="002B5399"/>
    <w:rsid w:val="002B6AF2"/>
    <w:rsid w:val="002B6F66"/>
    <w:rsid w:val="002B6F8F"/>
    <w:rsid w:val="002B711A"/>
    <w:rsid w:val="002B72B3"/>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281"/>
    <w:rsid w:val="002F1DE6"/>
    <w:rsid w:val="002F2F00"/>
    <w:rsid w:val="002F37DC"/>
    <w:rsid w:val="002F3D7E"/>
    <w:rsid w:val="002F3F09"/>
    <w:rsid w:val="002F449C"/>
    <w:rsid w:val="002F5E12"/>
    <w:rsid w:val="002F6AF5"/>
    <w:rsid w:val="002F71C4"/>
    <w:rsid w:val="002F7598"/>
    <w:rsid w:val="002F787B"/>
    <w:rsid w:val="002F7B80"/>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D62"/>
    <w:rsid w:val="0032716A"/>
    <w:rsid w:val="0033104F"/>
    <w:rsid w:val="00331164"/>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5585"/>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8B0"/>
    <w:rsid w:val="003C0C0A"/>
    <w:rsid w:val="003C1CA3"/>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5754D"/>
    <w:rsid w:val="00460075"/>
    <w:rsid w:val="0046131B"/>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29B0"/>
    <w:rsid w:val="00492CED"/>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C6034"/>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6BAC"/>
    <w:rsid w:val="004F72EF"/>
    <w:rsid w:val="005016B7"/>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7CEF"/>
    <w:rsid w:val="0054099C"/>
    <w:rsid w:val="00540F93"/>
    <w:rsid w:val="0054171E"/>
    <w:rsid w:val="005418DB"/>
    <w:rsid w:val="00542904"/>
    <w:rsid w:val="00543D4E"/>
    <w:rsid w:val="00547241"/>
    <w:rsid w:val="00547CFA"/>
    <w:rsid w:val="00550B2B"/>
    <w:rsid w:val="005515B3"/>
    <w:rsid w:val="00551D89"/>
    <w:rsid w:val="00552733"/>
    <w:rsid w:val="00552971"/>
    <w:rsid w:val="0055339B"/>
    <w:rsid w:val="005536D5"/>
    <w:rsid w:val="005542AF"/>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661"/>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44FA"/>
    <w:rsid w:val="006174BE"/>
    <w:rsid w:val="006202B1"/>
    <w:rsid w:val="006210F8"/>
    <w:rsid w:val="006214DC"/>
    <w:rsid w:val="006232F8"/>
    <w:rsid w:val="00623BE2"/>
    <w:rsid w:val="00623C49"/>
    <w:rsid w:val="0062404D"/>
    <w:rsid w:val="0062426A"/>
    <w:rsid w:val="00625303"/>
    <w:rsid w:val="00625E06"/>
    <w:rsid w:val="006261C5"/>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4F30"/>
    <w:rsid w:val="00655D95"/>
    <w:rsid w:val="006574EF"/>
    <w:rsid w:val="0065777C"/>
    <w:rsid w:val="00657A1C"/>
    <w:rsid w:val="00657D82"/>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2293"/>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CC9"/>
    <w:rsid w:val="007622F5"/>
    <w:rsid w:val="00762374"/>
    <w:rsid w:val="0076274E"/>
    <w:rsid w:val="007630C2"/>
    <w:rsid w:val="007649D5"/>
    <w:rsid w:val="00764E41"/>
    <w:rsid w:val="00765A0B"/>
    <w:rsid w:val="00765F08"/>
    <w:rsid w:val="00766C48"/>
    <w:rsid w:val="00767088"/>
    <w:rsid w:val="0077029E"/>
    <w:rsid w:val="007709E5"/>
    <w:rsid w:val="00771324"/>
    <w:rsid w:val="00771DC0"/>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66F"/>
    <w:rsid w:val="007C069F"/>
    <w:rsid w:val="007C0BB0"/>
    <w:rsid w:val="007C0BC6"/>
    <w:rsid w:val="007C2097"/>
    <w:rsid w:val="007C2A7C"/>
    <w:rsid w:val="007C4404"/>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6B7F"/>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EDE"/>
    <w:rsid w:val="00837A4B"/>
    <w:rsid w:val="00840378"/>
    <w:rsid w:val="00842B3E"/>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8B4"/>
    <w:rsid w:val="00990C74"/>
    <w:rsid w:val="00990DE7"/>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30D1"/>
    <w:rsid w:val="009A32B0"/>
    <w:rsid w:val="009A6AD5"/>
    <w:rsid w:val="009A6FFA"/>
    <w:rsid w:val="009A7265"/>
    <w:rsid w:val="009A7BDB"/>
    <w:rsid w:val="009A7CCE"/>
    <w:rsid w:val="009B1A6A"/>
    <w:rsid w:val="009B1DD0"/>
    <w:rsid w:val="009B29B4"/>
    <w:rsid w:val="009B2A45"/>
    <w:rsid w:val="009B3D08"/>
    <w:rsid w:val="009B4044"/>
    <w:rsid w:val="009B430A"/>
    <w:rsid w:val="009B4B03"/>
    <w:rsid w:val="009B4D0A"/>
    <w:rsid w:val="009B5EB0"/>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960"/>
    <w:rsid w:val="00A1334B"/>
    <w:rsid w:val="00A13777"/>
    <w:rsid w:val="00A14F55"/>
    <w:rsid w:val="00A1550B"/>
    <w:rsid w:val="00A1587B"/>
    <w:rsid w:val="00A161E6"/>
    <w:rsid w:val="00A1661A"/>
    <w:rsid w:val="00A17520"/>
    <w:rsid w:val="00A20258"/>
    <w:rsid w:val="00A207F9"/>
    <w:rsid w:val="00A20AF7"/>
    <w:rsid w:val="00A20CCD"/>
    <w:rsid w:val="00A20EDF"/>
    <w:rsid w:val="00A21903"/>
    <w:rsid w:val="00A22C0B"/>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7A83"/>
    <w:rsid w:val="00A40BA1"/>
    <w:rsid w:val="00A40DA0"/>
    <w:rsid w:val="00A41C32"/>
    <w:rsid w:val="00A41E7C"/>
    <w:rsid w:val="00A458A9"/>
    <w:rsid w:val="00A47B29"/>
    <w:rsid w:val="00A47E70"/>
    <w:rsid w:val="00A505FA"/>
    <w:rsid w:val="00A50CFB"/>
    <w:rsid w:val="00A519F5"/>
    <w:rsid w:val="00A51A11"/>
    <w:rsid w:val="00A53C05"/>
    <w:rsid w:val="00A53D28"/>
    <w:rsid w:val="00A53EF7"/>
    <w:rsid w:val="00A540C6"/>
    <w:rsid w:val="00A547B7"/>
    <w:rsid w:val="00A54BED"/>
    <w:rsid w:val="00A55B59"/>
    <w:rsid w:val="00A562C3"/>
    <w:rsid w:val="00A5639D"/>
    <w:rsid w:val="00A57674"/>
    <w:rsid w:val="00A60976"/>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7659"/>
    <w:rsid w:val="00A77684"/>
    <w:rsid w:val="00A8005D"/>
    <w:rsid w:val="00A801A4"/>
    <w:rsid w:val="00A80D16"/>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0C8B"/>
    <w:rsid w:val="00AA1373"/>
    <w:rsid w:val="00AA1886"/>
    <w:rsid w:val="00AA2718"/>
    <w:rsid w:val="00AA2C51"/>
    <w:rsid w:val="00AA35EF"/>
    <w:rsid w:val="00AA3AF9"/>
    <w:rsid w:val="00AA4C4F"/>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AA"/>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1E98"/>
    <w:rsid w:val="00BE30A3"/>
    <w:rsid w:val="00BE3A48"/>
    <w:rsid w:val="00BE3B24"/>
    <w:rsid w:val="00BE3D5A"/>
    <w:rsid w:val="00BE466B"/>
    <w:rsid w:val="00BE55E2"/>
    <w:rsid w:val="00BE590D"/>
    <w:rsid w:val="00BE5C95"/>
    <w:rsid w:val="00BE5F70"/>
    <w:rsid w:val="00BE6A46"/>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B06"/>
    <w:rsid w:val="00C40D00"/>
    <w:rsid w:val="00C40F99"/>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99C"/>
    <w:rsid w:val="00C7071C"/>
    <w:rsid w:val="00C707DC"/>
    <w:rsid w:val="00C70F3A"/>
    <w:rsid w:val="00C72DF3"/>
    <w:rsid w:val="00C73C9E"/>
    <w:rsid w:val="00C7409D"/>
    <w:rsid w:val="00C7490C"/>
    <w:rsid w:val="00C74B95"/>
    <w:rsid w:val="00C74D52"/>
    <w:rsid w:val="00C75BBE"/>
    <w:rsid w:val="00C762B4"/>
    <w:rsid w:val="00C76352"/>
    <w:rsid w:val="00C76676"/>
    <w:rsid w:val="00C771ED"/>
    <w:rsid w:val="00C77464"/>
    <w:rsid w:val="00C80496"/>
    <w:rsid w:val="00C807E7"/>
    <w:rsid w:val="00C813D9"/>
    <w:rsid w:val="00C81812"/>
    <w:rsid w:val="00C823EC"/>
    <w:rsid w:val="00C82F81"/>
    <w:rsid w:val="00C84B83"/>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D11C0"/>
    <w:rsid w:val="00CD1510"/>
    <w:rsid w:val="00CD182F"/>
    <w:rsid w:val="00CD1E45"/>
    <w:rsid w:val="00CD242A"/>
    <w:rsid w:val="00CD2658"/>
    <w:rsid w:val="00CD54BF"/>
    <w:rsid w:val="00CD6564"/>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0992"/>
    <w:rsid w:val="00D11264"/>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136A"/>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5AA"/>
    <w:rsid w:val="00D57770"/>
    <w:rsid w:val="00D57B9B"/>
    <w:rsid w:val="00D61906"/>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6515"/>
    <w:rsid w:val="00D86D0E"/>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B24"/>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B5A"/>
    <w:rsid w:val="00E62C08"/>
    <w:rsid w:val="00E62DA0"/>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C1E"/>
    <w:rsid w:val="00FA1F18"/>
    <w:rsid w:val="00FA213D"/>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6AE2"/>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19398-FCA5-40C9-AE78-E1E403D80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1126</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2017-09-29T03:26:00Z</dcterms:modified>
</cp:coreProperties>
</file>